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73" w:rsidRDefault="007F0573" w:rsidP="007F057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D47E9">
        <w:rPr>
          <w:b/>
        </w:rPr>
        <w:t>COMPULSORY ATTACHMENTS TO THE APPLICATION</w:t>
      </w:r>
    </w:p>
    <w:p w:rsidR="007F0573" w:rsidRDefault="007F0573" w:rsidP="007F057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7F0573" w:rsidRPr="008D47E9" w:rsidRDefault="007F0573" w:rsidP="007F0573">
      <w:pPr>
        <w:overflowPunct w:val="0"/>
        <w:autoSpaceDE w:val="0"/>
        <w:autoSpaceDN w:val="0"/>
        <w:adjustRightInd w:val="0"/>
        <w:rPr>
          <w:b/>
        </w:rPr>
      </w:pPr>
    </w:p>
    <w:p w:rsidR="007F0573" w:rsidRDefault="007F0573" w:rsidP="007F0573">
      <w:p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370B05">
        <w:rPr>
          <w:b/>
          <w:i/>
        </w:rPr>
        <w:t>Attachment 1: Project Plan</w:t>
      </w:r>
    </w:p>
    <w:p w:rsidR="007F0573" w:rsidRDefault="007F0573" w:rsidP="007F0573">
      <w:pPr>
        <w:overflowPunct w:val="0"/>
        <w:autoSpaceDE w:val="0"/>
        <w:autoSpaceDN w:val="0"/>
        <w:adjustRightInd w:val="0"/>
        <w:jc w:val="both"/>
        <w:rPr>
          <w:b/>
          <w:i/>
        </w:rPr>
      </w:pPr>
    </w:p>
    <w:p w:rsidR="007F0573" w:rsidRPr="00BB2848" w:rsidRDefault="007F0573" w:rsidP="007F0573">
      <w:pPr>
        <w:overflowPunct w:val="0"/>
        <w:autoSpaceDE w:val="0"/>
        <w:autoSpaceDN w:val="0"/>
        <w:adjustRightInd w:val="0"/>
        <w:jc w:val="both"/>
      </w:pPr>
      <w:r w:rsidRPr="00BB2848">
        <w:t xml:space="preserve">Cover page: name of the project, applicant organisation, </w:t>
      </w:r>
      <w:proofErr w:type="gramStart"/>
      <w:r w:rsidRPr="00BB2848">
        <w:t>date</w:t>
      </w:r>
      <w:proofErr w:type="gramEnd"/>
      <w:r w:rsidRPr="00BB2848">
        <w:t xml:space="preserve"> </w:t>
      </w:r>
    </w:p>
    <w:p w:rsidR="007F0573" w:rsidRPr="00BB2848" w:rsidRDefault="007F0573" w:rsidP="007F0573">
      <w:pPr>
        <w:overflowPunct w:val="0"/>
        <w:autoSpaceDE w:val="0"/>
        <w:autoSpaceDN w:val="0"/>
        <w:adjustRightInd w:val="0"/>
        <w:jc w:val="both"/>
      </w:pPr>
      <w:r w:rsidRPr="00BB2848">
        <w:t>Table of contents</w:t>
      </w:r>
    </w:p>
    <w:p w:rsidR="007F0573" w:rsidRPr="00BB2848" w:rsidRDefault="007F0573" w:rsidP="007F0573">
      <w:pPr>
        <w:overflowPunct w:val="0"/>
        <w:autoSpaceDE w:val="0"/>
        <w:autoSpaceDN w:val="0"/>
        <w:adjustRightInd w:val="0"/>
        <w:jc w:val="both"/>
      </w:pPr>
    </w:p>
    <w:p w:rsidR="007F0573" w:rsidRDefault="007F0573" w:rsidP="007F0573">
      <w:pPr>
        <w:overflowPunct w:val="0"/>
        <w:autoSpaceDE w:val="0"/>
        <w:autoSpaceDN w:val="0"/>
        <w:adjustRightInd w:val="0"/>
        <w:jc w:val="both"/>
      </w:pPr>
      <w:r w:rsidRPr="00BB2848">
        <w:t>Contents</w:t>
      </w:r>
      <w:r>
        <w:t xml:space="preserve"> (max </w:t>
      </w:r>
      <w:proofErr w:type="gramStart"/>
      <w:r>
        <w:t>8</w:t>
      </w:r>
      <w:proofErr w:type="gramEnd"/>
      <w:r>
        <w:t xml:space="preserve"> pages excluding cover page, </w:t>
      </w:r>
      <w:proofErr w:type="spellStart"/>
      <w:r>
        <w:t>ToC</w:t>
      </w:r>
      <w:proofErr w:type="spellEnd"/>
      <w:r>
        <w:t xml:space="preserve"> and other attachments)</w:t>
      </w:r>
    </w:p>
    <w:p w:rsidR="007F0573" w:rsidRPr="00BB2848" w:rsidRDefault="007F0573" w:rsidP="007F0573">
      <w:pPr>
        <w:overflowPunct w:val="0"/>
        <w:autoSpaceDE w:val="0"/>
        <w:autoSpaceDN w:val="0"/>
        <w:adjustRightInd w:val="0"/>
        <w:jc w:val="both"/>
      </w:pPr>
    </w:p>
    <w:p w:rsidR="007F0573" w:rsidRPr="00C33D0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C33D00">
        <w:rPr>
          <w:b/>
          <w:i/>
          <w:szCs w:val="20"/>
        </w:rPr>
        <w:t xml:space="preserve">Background. </w:t>
      </w:r>
    </w:p>
    <w:p w:rsidR="007F0573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>
        <w:rPr>
          <w:szCs w:val="20"/>
        </w:rPr>
        <w:t>Explain r</w:t>
      </w:r>
      <w:r w:rsidRPr="006A51CA">
        <w:rPr>
          <w:szCs w:val="20"/>
        </w:rPr>
        <w:t xml:space="preserve">eason(s) for launching the project. </w:t>
      </w:r>
    </w:p>
    <w:p w:rsidR="007F0573" w:rsidRPr="006A51CA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</w:p>
    <w:p w:rsidR="007F0573" w:rsidRPr="00C33D00" w:rsidRDefault="007F0573" w:rsidP="007F057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C33D00">
        <w:rPr>
          <w:b/>
          <w:i/>
        </w:rPr>
        <w:t>Beneficiaries</w:t>
      </w:r>
    </w:p>
    <w:p w:rsidR="007F0573" w:rsidRDefault="007F0573" w:rsidP="007F0573">
      <w:pPr>
        <w:pStyle w:val="ListParagraph"/>
        <w:ind w:left="1080"/>
        <w:jc w:val="both"/>
      </w:pPr>
      <w:r w:rsidRPr="00F0252F">
        <w:t>The beneficiaries</w:t>
      </w:r>
      <w:r>
        <w:t xml:space="preserve"> of the project </w:t>
      </w:r>
      <w:proofErr w:type="gramStart"/>
      <w:r>
        <w:t xml:space="preserve">and </w:t>
      </w:r>
      <w:r w:rsidRPr="00F0252F">
        <w:t xml:space="preserve"> </w:t>
      </w:r>
      <w:r>
        <w:t>their</w:t>
      </w:r>
      <w:proofErr w:type="gramEnd"/>
      <w:r>
        <w:t xml:space="preserve"> commitment to project implementation.</w:t>
      </w:r>
    </w:p>
    <w:p w:rsidR="007F0573" w:rsidRPr="00F0252F" w:rsidRDefault="007F0573" w:rsidP="007F0573">
      <w:pPr>
        <w:pStyle w:val="ListParagraph"/>
        <w:ind w:left="1080"/>
        <w:jc w:val="both"/>
      </w:pPr>
    </w:p>
    <w:p w:rsidR="007F0573" w:rsidRPr="00C33D00" w:rsidRDefault="007F0573" w:rsidP="007F0573">
      <w:pPr>
        <w:pStyle w:val="ListParagraph"/>
        <w:numPr>
          <w:ilvl w:val="0"/>
          <w:numId w:val="1"/>
        </w:numPr>
        <w:jc w:val="both"/>
        <w:rPr>
          <w:b/>
          <w:i/>
        </w:rPr>
      </w:pPr>
      <w:r w:rsidRPr="00C33D00">
        <w:rPr>
          <w:b/>
          <w:i/>
        </w:rPr>
        <w:t>Expected results</w:t>
      </w:r>
    </w:p>
    <w:p w:rsidR="007F0573" w:rsidRDefault="007F0573" w:rsidP="007F0573">
      <w:pPr>
        <w:pStyle w:val="ListParagraph"/>
        <w:ind w:left="1080"/>
        <w:jc w:val="both"/>
      </w:pPr>
      <w:r w:rsidRPr="00F0252F">
        <w:t xml:space="preserve">The expected results </w:t>
      </w:r>
      <w:r>
        <w:t xml:space="preserve">of the project as </w:t>
      </w:r>
      <w:r w:rsidRPr="00F0252F">
        <w:t>concrete</w:t>
      </w:r>
      <w:r>
        <w:t>ly</w:t>
      </w:r>
      <w:r w:rsidRPr="00F0252F">
        <w:t xml:space="preserve"> and realistic</w:t>
      </w:r>
      <w:r>
        <w:t xml:space="preserve">ally as possible. A results framework table may be attached or included in the project </w:t>
      </w:r>
      <w:proofErr w:type="gramStart"/>
      <w:r>
        <w:t>application  or</w:t>
      </w:r>
      <w:proofErr w:type="gramEnd"/>
      <w:r>
        <w:t xml:space="preserve"> it can presented here in section 3.</w:t>
      </w:r>
    </w:p>
    <w:p w:rsidR="007F0573" w:rsidRPr="00F0252F" w:rsidRDefault="007F0573" w:rsidP="007F0573">
      <w:pPr>
        <w:pStyle w:val="ListParagraph"/>
        <w:ind w:left="1080"/>
        <w:jc w:val="both"/>
      </w:pPr>
      <w:r>
        <w:t xml:space="preserve"> </w:t>
      </w:r>
    </w:p>
    <w:p w:rsidR="007F0573" w:rsidRPr="00C33D0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C33D00">
        <w:rPr>
          <w:b/>
          <w:i/>
        </w:rPr>
        <w:t xml:space="preserve">Main Activities </w:t>
      </w:r>
    </w:p>
    <w:p w:rsidR="007F0573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</w:pPr>
      <w:r>
        <w:t xml:space="preserve">Main Activities contributing to the results. Activities need to </w:t>
      </w:r>
      <w:proofErr w:type="gramStart"/>
      <w:r>
        <w:t>be aligned</w:t>
      </w:r>
      <w:proofErr w:type="gramEnd"/>
      <w:r>
        <w:t xml:space="preserve"> with the project budget.  It is useful to describe what activities </w:t>
      </w:r>
      <w:proofErr w:type="gramStart"/>
      <w:r>
        <w:t>are done</w:t>
      </w:r>
      <w:proofErr w:type="gramEnd"/>
      <w:r>
        <w:t xml:space="preserve"> first and what activities at the late stage of the project implementation.</w:t>
      </w:r>
    </w:p>
    <w:p w:rsidR="007F0573" w:rsidRPr="00C33D00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7C3470">
        <w:rPr>
          <w:b/>
          <w:i/>
        </w:rPr>
        <w:t>Risk analysis</w:t>
      </w:r>
    </w:p>
    <w:p w:rsidR="007F0573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</w:pPr>
      <w:r>
        <w:t>Analysis of the project risks and description how to minimise risks.</w:t>
      </w:r>
    </w:p>
    <w:p w:rsidR="007F0573" w:rsidRPr="006A51CA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C3470">
        <w:rPr>
          <w:b/>
          <w:i/>
        </w:rPr>
        <w:t>Addressing human rights and cross-cutting objectives</w:t>
      </w:r>
    </w:p>
    <w:p w:rsidR="007F0573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</w:pPr>
      <w:r>
        <w:t>How project addresses Human Rights Based Approach and C</w:t>
      </w:r>
      <w:r w:rsidRPr="00F0252F">
        <w:t>ross</w:t>
      </w:r>
      <w:r>
        <w:t>-C</w:t>
      </w:r>
      <w:r w:rsidRPr="00F0252F">
        <w:t xml:space="preserve">utting </w:t>
      </w:r>
      <w:r>
        <w:t>Objectives of Finnish development policy</w:t>
      </w:r>
      <w:r w:rsidRPr="00F0252F">
        <w:t xml:space="preserve"> </w:t>
      </w:r>
      <w:r>
        <w:t>(</w:t>
      </w:r>
      <w:r w:rsidRPr="00F0252F">
        <w:t>gender equality,</w:t>
      </w:r>
      <w:r>
        <w:t xml:space="preserve"> non-discrimination, carbon neutrality and  </w:t>
      </w:r>
      <w:r w:rsidRPr="00F0252F">
        <w:t xml:space="preserve"> </w:t>
      </w:r>
      <w:r>
        <w:t>environmental</w:t>
      </w:r>
      <w:r w:rsidRPr="00F0252F">
        <w:t xml:space="preserve"> sustainability</w:t>
      </w:r>
      <w:r>
        <w:t>)</w:t>
      </w:r>
      <w:r w:rsidRPr="00F0252F">
        <w:t xml:space="preserve"> are considered</w:t>
      </w:r>
      <w:r>
        <w:t>.</w:t>
      </w:r>
    </w:p>
    <w:p w:rsidR="007F0573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C3470">
        <w:rPr>
          <w:b/>
          <w:i/>
        </w:rPr>
        <w:t>The project management</w:t>
      </w:r>
      <w:r>
        <w:rPr>
          <w:b/>
          <w:i/>
        </w:rPr>
        <w:t xml:space="preserve"> practices and capacities</w:t>
      </w:r>
    </w:p>
    <w:p w:rsidR="007F0573" w:rsidRPr="00F0252F" w:rsidRDefault="007F0573" w:rsidP="007F0573">
      <w:pPr>
        <w:pStyle w:val="ListParagraph"/>
        <w:overflowPunct w:val="0"/>
        <w:autoSpaceDE w:val="0"/>
        <w:autoSpaceDN w:val="0"/>
        <w:adjustRightInd w:val="0"/>
        <w:ind w:left="1080"/>
        <w:jc w:val="both"/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C3470">
        <w:rPr>
          <w:b/>
          <w:i/>
        </w:rPr>
        <w:t>Project personnel</w:t>
      </w:r>
    </w:p>
    <w:p w:rsidR="007F0573" w:rsidRDefault="007F0573" w:rsidP="007F0573">
      <w:pPr>
        <w:overflowPunct w:val="0"/>
        <w:autoSpaceDE w:val="0"/>
        <w:autoSpaceDN w:val="0"/>
        <w:adjustRightInd w:val="0"/>
        <w:ind w:left="1080"/>
        <w:jc w:val="both"/>
      </w:pPr>
      <w:r w:rsidRPr="00F0252F">
        <w:t xml:space="preserve">The persons conducting the </w:t>
      </w:r>
      <w:r>
        <w:t xml:space="preserve">project </w:t>
      </w:r>
      <w:r w:rsidRPr="00F0252F">
        <w:t xml:space="preserve">work </w:t>
      </w:r>
      <w:proofErr w:type="gramStart"/>
      <w:r w:rsidRPr="00F0252F">
        <w:t>are specified</w:t>
      </w:r>
      <w:proofErr w:type="gramEnd"/>
      <w:r w:rsidRPr="00F0252F">
        <w:t xml:space="preserve"> and have adequate qualifications</w:t>
      </w:r>
      <w:r>
        <w:t>.</w:t>
      </w:r>
    </w:p>
    <w:p w:rsidR="007F0573" w:rsidRDefault="007F0573" w:rsidP="007F0573">
      <w:pPr>
        <w:overflowPunct w:val="0"/>
        <w:autoSpaceDE w:val="0"/>
        <w:autoSpaceDN w:val="0"/>
        <w:adjustRightInd w:val="0"/>
        <w:ind w:left="720"/>
        <w:jc w:val="both"/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7C3470">
        <w:rPr>
          <w:b/>
          <w:i/>
          <w:szCs w:val="20"/>
        </w:rPr>
        <w:t>Monitoring arrangements</w:t>
      </w:r>
    </w:p>
    <w:p w:rsidR="007F0573" w:rsidRDefault="007F0573" w:rsidP="007F0573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F0573" w:rsidRPr="007C3470" w:rsidRDefault="007F0573" w:rsidP="007F0573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</w:rPr>
      </w:pPr>
      <w:r w:rsidRPr="007C3470">
        <w:rPr>
          <w:b/>
          <w:i/>
        </w:rPr>
        <w:t>Financial management practices and capacities</w:t>
      </w:r>
    </w:p>
    <w:p w:rsidR="007F0573" w:rsidRDefault="007F0573" w:rsidP="007F0573">
      <w:pPr>
        <w:pStyle w:val="ListParagraph"/>
      </w:pPr>
    </w:p>
    <w:p w:rsidR="007F0573" w:rsidRPr="007C3470" w:rsidRDefault="007F0573" w:rsidP="007F0573">
      <w:pPr>
        <w:overflowPunct w:val="0"/>
        <w:autoSpaceDE w:val="0"/>
        <w:autoSpaceDN w:val="0"/>
        <w:adjustRightInd w:val="0"/>
        <w:jc w:val="both"/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7C3470">
        <w:rPr>
          <w:b/>
          <w:i/>
          <w:szCs w:val="20"/>
        </w:rPr>
        <w:t xml:space="preserve"> Auditing arrangements</w:t>
      </w:r>
    </w:p>
    <w:p w:rsidR="007F0573" w:rsidRPr="007C3470" w:rsidRDefault="007F0573" w:rsidP="007F0573">
      <w:pPr>
        <w:pStyle w:val="ListParagraph"/>
        <w:rPr>
          <w:szCs w:val="20"/>
        </w:rPr>
      </w:pPr>
    </w:p>
    <w:p w:rsidR="007F0573" w:rsidRPr="007C3470" w:rsidRDefault="007F0573" w:rsidP="007F0573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F0573" w:rsidRPr="007C3470" w:rsidRDefault="007F0573" w:rsidP="007F057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/>
          <w:i/>
          <w:szCs w:val="20"/>
        </w:rPr>
      </w:pPr>
      <w:r w:rsidRPr="007C3470">
        <w:rPr>
          <w:b/>
          <w:i/>
        </w:rPr>
        <w:t xml:space="preserve">Track record of the organisation for project management  </w:t>
      </w:r>
    </w:p>
    <w:p w:rsidR="007F0573" w:rsidRPr="007C3470" w:rsidRDefault="007F0573" w:rsidP="007F0573">
      <w:pPr>
        <w:overflowPunct w:val="0"/>
        <w:autoSpaceDE w:val="0"/>
        <w:autoSpaceDN w:val="0"/>
        <w:adjustRightInd w:val="0"/>
        <w:ind w:left="1080"/>
        <w:jc w:val="both"/>
        <w:rPr>
          <w:szCs w:val="20"/>
        </w:rPr>
      </w:pPr>
      <w:r w:rsidRPr="007C3470">
        <w:rPr>
          <w:szCs w:val="20"/>
        </w:rPr>
        <w:t>Previous experience of the organisation in the same sector / theme.</w:t>
      </w:r>
      <w:r>
        <w:t xml:space="preserve"> Other projects funded by other agencies implemented during the past three years.</w:t>
      </w:r>
    </w:p>
    <w:p w:rsidR="007F0573" w:rsidRDefault="007F0573" w:rsidP="007F0573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F0573" w:rsidRPr="00E455BC" w:rsidRDefault="007F0573" w:rsidP="007F0573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7F0573" w:rsidRPr="007F0573" w:rsidRDefault="007F0573" w:rsidP="007F0573">
      <w:pPr>
        <w:rPr>
          <w:i/>
        </w:rPr>
      </w:pPr>
      <w:r w:rsidRPr="007F0573">
        <w:rPr>
          <w:b/>
          <w:i/>
        </w:rPr>
        <w:t>Attachment 2:</w:t>
      </w:r>
      <w:r w:rsidRPr="007F0573">
        <w:rPr>
          <w:i/>
        </w:rPr>
        <w:t xml:space="preserve"> Project budget</w:t>
      </w:r>
      <w:r w:rsidR="007046EC">
        <w:rPr>
          <w:i/>
        </w:rPr>
        <w:t xml:space="preserve"> </w:t>
      </w:r>
      <w:r w:rsidR="007046EC" w:rsidRPr="00257D8C">
        <w:rPr>
          <w:i/>
          <w:color w:val="808080" w:themeColor="background1" w:themeShade="80"/>
        </w:rPr>
        <w:t>[see model table below]</w:t>
      </w:r>
    </w:p>
    <w:p w:rsidR="007F0573" w:rsidRPr="007F0573" w:rsidRDefault="007F0573" w:rsidP="007F0573">
      <w:pPr>
        <w:rPr>
          <w:i/>
        </w:rPr>
      </w:pPr>
    </w:p>
    <w:p w:rsidR="007F0573" w:rsidRPr="007F0573" w:rsidRDefault="007F0573" w:rsidP="007F0573">
      <w:pPr>
        <w:rPr>
          <w:i/>
        </w:rPr>
      </w:pPr>
      <w:r w:rsidRPr="007F0573">
        <w:rPr>
          <w:b/>
          <w:i/>
        </w:rPr>
        <w:t>Attachment 3:</w:t>
      </w:r>
      <w:r w:rsidRPr="007F0573">
        <w:rPr>
          <w:i/>
        </w:rPr>
        <w:t xml:space="preserve"> A copy of the registration document of the applicant organisation with relevant authorities.</w:t>
      </w:r>
    </w:p>
    <w:p w:rsidR="007F0573" w:rsidRPr="007F0573" w:rsidRDefault="007F0573" w:rsidP="007F0573">
      <w:pPr>
        <w:rPr>
          <w:i/>
        </w:rPr>
      </w:pPr>
    </w:p>
    <w:p w:rsidR="007F0573" w:rsidRPr="007F0573" w:rsidRDefault="007F0573" w:rsidP="007F0573">
      <w:pPr>
        <w:rPr>
          <w:i/>
        </w:rPr>
      </w:pPr>
      <w:r w:rsidRPr="007F0573">
        <w:rPr>
          <w:b/>
          <w:i/>
        </w:rPr>
        <w:t>Attachment 4:</w:t>
      </w:r>
      <w:r w:rsidRPr="007F0573">
        <w:rPr>
          <w:i/>
        </w:rPr>
        <w:t xml:space="preserve"> Latest Annual Report of the organisation </w:t>
      </w:r>
    </w:p>
    <w:p w:rsidR="007F0573" w:rsidRPr="007F0573" w:rsidRDefault="007F0573" w:rsidP="007F0573">
      <w:pPr>
        <w:rPr>
          <w:i/>
        </w:rPr>
      </w:pPr>
    </w:p>
    <w:p w:rsidR="007F0573" w:rsidRPr="007F0573" w:rsidRDefault="007F0573" w:rsidP="007F0573">
      <w:pPr>
        <w:rPr>
          <w:i/>
        </w:rPr>
      </w:pPr>
      <w:r w:rsidRPr="007F0573">
        <w:rPr>
          <w:b/>
          <w:i/>
        </w:rPr>
        <w:t xml:space="preserve">Attachment 5: </w:t>
      </w:r>
      <w:r w:rsidRPr="007F0573">
        <w:rPr>
          <w:i/>
        </w:rPr>
        <w:t xml:space="preserve">Latest Financial Statement of the organisation </w:t>
      </w:r>
    </w:p>
    <w:p w:rsidR="007F0573" w:rsidRPr="007F0573" w:rsidRDefault="007F0573" w:rsidP="007F0573">
      <w:pPr>
        <w:rPr>
          <w:i/>
        </w:rPr>
      </w:pPr>
    </w:p>
    <w:p w:rsidR="007F0573" w:rsidRDefault="007F0573" w:rsidP="007F0573">
      <w:pPr>
        <w:rPr>
          <w:i/>
        </w:rPr>
      </w:pPr>
      <w:r w:rsidRPr="007F0573">
        <w:rPr>
          <w:b/>
          <w:i/>
        </w:rPr>
        <w:t>Attachment 6:</w:t>
      </w:r>
      <w:r w:rsidRPr="007F0573">
        <w:rPr>
          <w:i/>
        </w:rPr>
        <w:t xml:space="preserve"> Risk Assessment Matrix</w:t>
      </w:r>
      <w:r w:rsidR="007046EC">
        <w:rPr>
          <w:i/>
        </w:rPr>
        <w:t xml:space="preserve"> </w:t>
      </w:r>
      <w:r w:rsidR="007046EC" w:rsidRPr="00257D8C">
        <w:rPr>
          <w:i/>
          <w:color w:val="808080" w:themeColor="background1" w:themeShade="80"/>
        </w:rPr>
        <w:t>[see sample table below]</w:t>
      </w:r>
    </w:p>
    <w:p w:rsidR="000F35B4" w:rsidRPr="007F0573" w:rsidRDefault="000F35B4" w:rsidP="007F0573">
      <w:pPr>
        <w:rPr>
          <w:i/>
        </w:rPr>
      </w:pPr>
    </w:p>
    <w:p w:rsidR="007F0573" w:rsidRPr="00257D8C" w:rsidRDefault="000F35B4" w:rsidP="007F0573">
      <w:pPr>
        <w:rPr>
          <w:i/>
          <w:color w:val="808080" w:themeColor="background1" w:themeShade="80"/>
        </w:rPr>
      </w:pPr>
      <w:r w:rsidRPr="000F35B4">
        <w:rPr>
          <w:b/>
          <w:i/>
        </w:rPr>
        <w:t>Attachment 7:</w:t>
      </w:r>
      <w:r w:rsidRPr="000F35B4">
        <w:rPr>
          <w:i/>
        </w:rPr>
        <w:t xml:space="preserve"> Result Framework </w:t>
      </w:r>
      <w:r w:rsidR="007046EC" w:rsidRPr="00257D8C">
        <w:rPr>
          <w:i/>
          <w:color w:val="808080" w:themeColor="background1" w:themeShade="80"/>
        </w:rPr>
        <w:t>[see sample table below]</w:t>
      </w:r>
    </w:p>
    <w:p w:rsidR="000F35B4" w:rsidRPr="007F0573" w:rsidRDefault="000F35B4" w:rsidP="007F0573">
      <w:pPr>
        <w:rPr>
          <w:i/>
        </w:rPr>
      </w:pPr>
    </w:p>
    <w:p w:rsidR="007046EC" w:rsidRDefault="007046EC">
      <w:pPr>
        <w:spacing w:after="160" w:line="259" w:lineRule="auto"/>
      </w:pPr>
      <w:r>
        <w:br w:type="page"/>
      </w:r>
      <w:bookmarkStart w:id="0" w:name="_GoBack"/>
      <w:bookmarkEnd w:id="0"/>
    </w:p>
    <w:p w:rsidR="003562D8" w:rsidRPr="007F0573" w:rsidRDefault="007F0573" w:rsidP="007F0573">
      <w:pPr>
        <w:rPr>
          <w:b/>
          <w:i/>
        </w:rPr>
      </w:pPr>
      <w:r w:rsidRPr="007F0573">
        <w:rPr>
          <w:b/>
          <w:i/>
        </w:rPr>
        <w:lastRenderedPageBreak/>
        <w:t>Attachment 2: Project budget</w:t>
      </w:r>
    </w:p>
    <w:p w:rsidR="007F0573" w:rsidRPr="007F0573" w:rsidRDefault="007F0573" w:rsidP="007F0573">
      <w:pPr>
        <w:rPr>
          <w:i/>
        </w:rPr>
      </w:pPr>
    </w:p>
    <w:p w:rsidR="007F0573" w:rsidRDefault="007F0573" w:rsidP="007F0573">
      <w:r w:rsidRPr="007F0573">
        <w:t xml:space="preserve">Organisation name: </w:t>
      </w:r>
      <w:r w:rsidRPr="00257D8C">
        <w:rPr>
          <w:b/>
          <w:i/>
          <w:highlight w:val="yellow"/>
        </w:rPr>
        <w:t>INSERT ORGANISATION NAME HERE</w:t>
      </w:r>
    </w:p>
    <w:p w:rsidR="007F0573" w:rsidRPr="007F0573" w:rsidRDefault="007F0573" w:rsidP="007F0573"/>
    <w:p w:rsidR="007F0573" w:rsidRPr="007F0573" w:rsidRDefault="007F0573" w:rsidP="007F0573">
      <w:r w:rsidRPr="007F0573">
        <w:rPr>
          <w:lang w:val="en-US"/>
        </w:rPr>
        <w:t xml:space="preserve">Project name and duration: </w:t>
      </w:r>
      <w:r w:rsidRPr="00257D8C">
        <w:rPr>
          <w:b/>
          <w:i/>
          <w:highlight w:val="yellow"/>
          <w:lang w:val="en-US"/>
        </w:rPr>
        <w:t>INSERT PROJECT NAME AND DURATION HERE</w:t>
      </w:r>
    </w:p>
    <w:tbl>
      <w:tblPr>
        <w:tblpPr w:leftFromText="142" w:rightFromText="142" w:vertAnchor="page" w:horzAnchor="margin" w:tblpY="3653"/>
        <w:tblW w:w="1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553"/>
        <w:gridCol w:w="720"/>
        <w:gridCol w:w="1418"/>
        <w:gridCol w:w="709"/>
        <w:gridCol w:w="850"/>
        <w:gridCol w:w="1276"/>
        <w:gridCol w:w="1701"/>
        <w:gridCol w:w="1598"/>
      </w:tblGrid>
      <w:tr w:rsidR="007F0573" w:rsidRPr="007F0573" w:rsidTr="007F0573">
        <w:tc>
          <w:tcPr>
            <w:tcW w:w="959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4553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Activity Description</w:t>
            </w:r>
          </w:p>
        </w:tc>
        <w:tc>
          <w:tcPr>
            <w:tcW w:w="720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Unit</w:t>
            </w:r>
          </w:p>
        </w:tc>
        <w:tc>
          <w:tcPr>
            <w:tcW w:w="1418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Quantity</w:t>
            </w:r>
          </w:p>
        </w:tc>
        <w:tc>
          <w:tcPr>
            <w:tcW w:w="709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Unit Cost</w:t>
            </w:r>
          </w:p>
        </w:tc>
        <w:tc>
          <w:tcPr>
            <w:tcW w:w="850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Total</w:t>
            </w:r>
          </w:p>
        </w:tc>
        <w:tc>
          <w:tcPr>
            <w:tcW w:w="1276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FLC/</w:t>
            </w:r>
          </w:p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Embassy of Finland</w:t>
            </w:r>
          </w:p>
        </w:tc>
        <w:tc>
          <w:tcPr>
            <w:tcW w:w="1701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Organisation</w:t>
            </w:r>
          </w:p>
        </w:tc>
        <w:tc>
          <w:tcPr>
            <w:tcW w:w="1598" w:type="dxa"/>
            <w:shd w:val="clear" w:color="auto" w:fill="FFFFFF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Percentage</w:t>
            </w:r>
          </w:p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%</w:t>
            </w:r>
          </w:p>
        </w:tc>
      </w:tr>
      <w:tr w:rsidR="007F0573" w:rsidRPr="007F0573" w:rsidTr="007F0573">
        <w:tc>
          <w:tcPr>
            <w:tcW w:w="95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I.</w:t>
            </w:r>
          </w:p>
        </w:tc>
        <w:tc>
          <w:tcPr>
            <w:tcW w:w="4553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/>
                <w:bCs/>
              </w:rPr>
              <w:t>Expected Result 1</w:t>
            </w:r>
          </w:p>
        </w:tc>
        <w:tc>
          <w:tcPr>
            <w:tcW w:w="72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I.1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Activity 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I.1.1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1.1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I.1.2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1.2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I.2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Activity 2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I.2.1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2.1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…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  <w:i/>
              </w:rPr>
            </w:pPr>
            <w:r w:rsidRPr="007F0573">
              <w:rPr>
                <w:bCs/>
                <w:i/>
              </w:rPr>
              <w:t>add rows if need be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II.</w:t>
            </w:r>
          </w:p>
        </w:tc>
        <w:tc>
          <w:tcPr>
            <w:tcW w:w="4553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Expected Result 2</w:t>
            </w:r>
          </w:p>
        </w:tc>
        <w:tc>
          <w:tcPr>
            <w:tcW w:w="72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II.1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Activity 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II.1.1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1.1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II.1.2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1.2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II.2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/>
                <w:bCs/>
                <w:i/>
              </w:rPr>
            </w:pPr>
            <w:r w:rsidRPr="007F0573">
              <w:rPr>
                <w:b/>
                <w:bCs/>
                <w:i/>
              </w:rPr>
              <w:t>Activity 2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II.2.1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Activity 2.1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…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  <w:i/>
              </w:rPr>
              <w:t>add rows if need be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III.</w:t>
            </w:r>
          </w:p>
        </w:tc>
        <w:tc>
          <w:tcPr>
            <w:tcW w:w="4553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 xml:space="preserve">Personnel engaged in activities </w:t>
            </w:r>
          </w:p>
        </w:tc>
        <w:tc>
          <w:tcPr>
            <w:tcW w:w="720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  <w:tc>
          <w:tcPr>
            <w:tcW w:w="1598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III.1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III.2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…</w:t>
            </w: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  <w:i/>
              </w:rPr>
              <w:t>add rows if need be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IV.</w:t>
            </w:r>
          </w:p>
        </w:tc>
        <w:tc>
          <w:tcPr>
            <w:tcW w:w="4553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Administration costs</w:t>
            </w:r>
            <w:r w:rsidRPr="007F0573">
              <w:rPr>
                <w:bCs/>
                <w:i/>
              </w:rPr>
              <w:t>*</w:t>
            </w:r>
          </w:p>
        </w:tc>
        <w:tc>
          <w:tcPr>
            <w:tcW w:w="72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(phone, office supplies, financial management)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  <w:r w:rsidRPr="007F0573">
              <w:rPr>
                <w:bCs/>
              </w:rPr>
              <w:t>(audit)</w:t>
            </w: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V.</w:t>
            </w:r>
          </w:p>
        </w:tc>
        <w:tc>
          <w:tcPr>
            <w:tcW w:w="4553" w:type="dxa"/>
            <w:shd w:val="clear" w:color="auto" w:fill="8DB3E2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 xml:space="preserve">Other costs </w:t>
            </w:r>
          </w:p>
        </w:tc>
        <w:tc>
          <w:tcPr>
            <w:tcW w:w="72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  <w:shd w:val="clear" w:color="auto" w:fill="8DB3E2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95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4553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2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  <w:tr w:rsidR="007F0573" w:rsidRPr="007F0573" w:rsidTr="007F0573">
        <w:tc>
          <w:tcPr>
            <w:tcW w:w="5512" w:type="dxa"/>
            <w:gridSpan w:val="2"/>
            <w:shd w:val="clear" w:color="auto" w:fill="C6D9F1"/>
          </w:tcPr>
          <w:p w:rsidR="007F0573" w:rsidRPr="007F0573" w:rsidRDefault="007F0573" w:rsidP="007F0573">
            <w:pPr>
              <w:rPr>
                <w:b/>
                <w:bCs/>
              </w:rPr>
            </w:pPr>
            <w:r w:rsidRPr="007F0573">
              <w:rPr>
                <w:b/>
                <w:bCs/>
              </w:rPr>
              <w:t>TOTAL</w:t>
            </w:r>
          </w:p>
        </w:tc>
        <w:tc>
          <w:tcPr>
            <w:tcW w:w="720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418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709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850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276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701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  <w:tc>
          <w:tcPr>
            <w:tcW w:w="1598" w:type="dxa"/>
            <w:shd w:val="clear" w:color="auto" w:fill="C6D9F1"/>
          </w:tcPr>
          <w:p w:rsidR="007F0573" w:rsidRPr="007F0573" w:rsidRDefault="007F0573" w:rsidP="007F0573">
            <w:pPr>
              <w:rPr>
                <w:bCs/>
              </w:rPr>
            </w:pPr>
          </w:p>
        </w:tc>
      </w:tr>
    </w:tbl>
    <w:p w:rsidR="007F0573" w:rsidRPr="007F0573" w:rsidRDefault="007F0573" w:rsidP="007F0573"/>
    <w:p w:rsidR="007046EC" w:rsidRDefault="007046EC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7F0573" w:rsidRDefault="007F0573">
      <w:pPr>
        <w:rPr>
          <w:b/>
          <w:i/>
        </w:rPr>
      </w:pPr>
      <w:r w:rsidRPr="007F0573">
        <w:rPr>
          <w:b/>
          <w:i/>
        </w:rPr>
        <w:lastRenderedPageBreak/>
        <w:t>Attachment 6: Risk Assessment Matrix</w:t>
      </w:r>
    </w:p>
    <w:p w:rsidR="007046EC" w:rsidRDefault="007046EC" w:rsidP="007046EC"/>
    <w:p w:rsidR="007046EC" w:rsidRDefault="007046EC" w:rsidP="007046EC">
      <w:r w:rsidRPr="007F0573">
        <w:t xml:space="preserve">Organisation name: </w:t>
      </w:r>
      <w:r w:rsidRPr="00C35E8F">
        <w:rPr>
          <w:b/>
          <w:i/>
          <w:highlight w:val="yellow"/>
        </w:rPr>
        <w:t>INSERT ORGANISATION NAME HERE</w:t>
      </w:r>
    </w:p>
    <w:p w:rsidR="007046EC" w:rsidRPr="007F0573" w:rsidRDefault="007046EC" w:rsidP="007046EC"/>
    <w:p w:rsidR="007F0573" w:rsidRDefault="007046EC">
      <w:r w:rsidRPr="007F0573">
        <w:rPr>
          <w:lang w:val="en-US"/>
        </w:rPr>
        <w:t xml:space="preserve">Project name and duration: </w:t>
      </w:r>
      <w:r w:rsidRPr="00C35E8F">
        <w:rPr>
          <w:b/>
          <w:i/>
          <w:highlight w:val="yellow"/>
          <w:lang w:val="en-US"/>
        </w:rPr>
        <w:t>INSERT PROJECT NAME AND DURATION HERE</w:t>
      </w:r>
    </w:p>
    <w:p w:rsidR="007F0573" w:rsidRPr="007F0573" w:rsidRDefault="007F0573" w:rsidP="007F0573"/>
    <w:tbl>
      <w:tblPr>
        <w:tblStyle w:val="TableGrid"/>
        <w:tblW w:w="14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36"/>
        <w:gridCol w:w="1804"/>
        <w:gridCol w:w="2268"/>
        <w:gridCol w:w="1134"/>
        <w:gridCol w:w="2410"/>
        <w:gridCol w:w="4394"/>
      </w:tblGrid>
      <w:tr w:rsidR="007F0573" w:rsidRPr="007F0573" w:rsidTr="007F0573">
        <w:trPr>
          <w:trHeight w:val="906"/>
        </w:trPr>
        <w:tc>
          <w:tcPr>
            <w:tcW w:w="2336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Risk factor</w:t>
            </w:r>
          </w:p>
        </w:tc>
        <w:tc>
          <w:tcPr>
            <w:tcW w:w="1804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Likelihood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Background to assessment of likelihood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Impact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Background to assessment of impact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:rsidR="007F0573" w:rsidRPr="007F0573" w:rsidRDefault="007F0573" w:rsidP="007F057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7F0573">
              <w:rPr>
                <w:b/>
                <w:lang w:val="en-US"/>
              </w:rPr>
              <w:t>isk mitigation strategy</w:t>
            </w:r>
          </w:p>
        </w:tc>
      </w:tr>
      <w:tr w:rsidR="007F0573" w:rsidRPr="007F0573" w:rsidTr="007F0573">
        <w:trPr>
          <w:trHeight w:val="223"/>
        </w:trPr>
        <w:tc>
          <w:tcPr>
            <w:tcW w:w="14346" w:type="dxa"/>
            <w:gridSpan w:val="6"/>
            <w:shd w:val="clear" w:color="auto" w:fill="EDEDED" w:themeFill="accent3" w:themeFillTint="33"/>
          </w:tcPr>
          <w:p w:rsidR="007F0573" w:rsidRPr="007F0573" w:rsidRDefault="007F0573" w:rsidP="007F0573">
            <w:pPr>
              <w:rPr>
                <w:b/>
                <w:lang w:val="en-US"/>
              </w:rPr>
            </w:pPr>
            <w:r w:rsidRPr="007F0573">
              <w:rPr>
                <w:b/>
              </w:rPr>
              <w:t>Contextual Risks</w:t>
            </w:r>
            <w:r w:rsidRPr="007F0573">
              <w:rPr>
                <w:b/>
                <w:lang w:val="en-US"/>
              </w:rPr>
              <w:t>:</w:t>
            </w:r>
          </w:p>
        </w:tc>
      </w:tr>
      <w:tr w:rsidR="007F0573" w:rsidRPr="007F0573" w:rsidTr="007F0573">
        <w:trPr>
          <w:trHeight w:val="684"/>
        </w:trPr>
        <w:tc>
          <w:tcPr>
            <w:tcW w:w="2336" w:type="dxa"/>
          </w:tcPr>
          <w:p w:rsidR="007F0573" w:rsidRPr="007F0573" w:rsidRDefault="007F0573" w:rsidP="007F0573">
            <w:r w:rsidRPr="007F0573">
              <w:t>- Political unrest or conflicts halt democracy and HR processes.</w:t>
            </w:r>
          </w:p>
        </w:tc>
        <w:tc>
          <w:tcPr>
            <w:tcW w:w="1804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Medium</w:t>
            </w:r>
          </w:p>
        </w:tc>
        <w:tc>
          <w:tcPr>
            <w:tcW w:w="2268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Donor working group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High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Donor working group, civil society actors</w:t>
            </w:r>
          </w:p>
        </w:tc>
        <w:tc>
          <w:tcPr>
            <w:tcW w:w="4394" w:type="dxa"/>
          </w:tcPr>
          <w:p w:rsidR="007F0573" w:rsidRPr="007F0573" w:rsidRDefault="007F0573" w:rsidP="007F0573">
            <w:r w:rsidRPr="007F0573">
              <w:t>The Mission assesses the situation continuously.</w:t>
            </w:r>
          </w:p>
        </w:tc>
      </w:tr>
      <w:tr w:rsidR="007F0573" w:rsidRPr="007F0573" w:rsidTr="007F0573">
        <w:trPr>
          <w:trHeight w:val="610"/>
        </w:trPr>
        <w:tc>
          <w:tcPr>
            <w:tcW w:w="2336" w:type="dxa"/>
          </w:tcPr>
          <w:p w:rsidR="007F0573" w:rsidRPr="007F0573" w:rsidRDefault="007F0573" w:rsidP="007F0573">
            <w:r w:rsidRPr="007F0573">
              <w:t>- Restrictions by authorities on civil society.</w:t>
            </w:r>
          </w:p>
        </w:tc>
        <w:tc>
          <w:tcPr>
            <w:tcW w:w="1804" w:type="dxa"/>
          </w:tcPr>
          <w:p w:rsidR="007F0573" w:rsidRPr="007F0573" w:rsidRDefault="007F0573" w:rsidP="007F0573">
            <w:r w:rsidRPr="007F0573">
              <w:t>High</w:t>
            </w:r>
          </w:p>
        </w:tc>
        <w:tc>
          <w:tcPr>
            <w:tcW w:w="2268" w:type="dxa"/>
          </w:tcPr>
          <w:p w:rsidR="007F0573" w:rsidRPr="007F0573" w:rsidRDefault="007F0573" w:rsidP="007F0573">
            <w:r w:rsidRPr="007F0573">
              <w:t>Donor working group, civil society actors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Medium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Civil society actors</w:t>
            </w:r>
          </w:p>
        </w:tc>
        <w:tc>
          <w:tcPr>
            <w:tcW w:w="4394" w:type="dxa"/>
          </w:tcPr>
          <w:p w:rsidR="007F0573" w:rsidRPr="007F0573" w:rsidRDefault="007F0573" w:rsidP="007F0573">
            <w:r w:rsidRPr="007F0573">
              <w:t>Donors take up the issue with key authorities.</w:t>
            </w:r>
          </w:p>
        </w:tc>
      </w:tr>
      <w:tr w:rsidR="007F0573" w:rsidRPr="007F0573" w:rsidTr="007F0573">
        <w:trPr>
          <w:trHeight w:val="223"/>
        </w:trPr>
        <w:tc>
          <w:tcPr>
            <w:tcW w:w="14346" w:type="dxa"/>
            <w:gridSpan w:val="6"/>
            <w:shd w:val="clear" w:color="auto" w:fill="EDEDED" w:themeFill="accent3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Programmatic risks:</w:t>
            </w:r>
          </w:p>
        </w:tc>
      </w:tr>
      <w:tr w:rsidR="007F0573" w:rsidRPr="007F0573" w:rsidTr="007F0573">
        <w:trPr>
          <w:trHeight w:val="1233"/>
        </w:trPr>
        <w:tc>
          <w:tcPr>
            <w:tcW w:w="2336" w:type="dxa"/>
          </w:tcPr>
          <w:p w:rsidR="007F0573" w:rsidRPr="007F0573" w:rsidRDefault="007F0573" w:rsidP="007F0573">
            <w:r w:rsidRPr="007F0573">
              <w:t>- FLC Partners are unable to maintain motivation for implementing projects and developing their organizations.</w:t>
            </w:r>
          </w:p>
        </w:tc>
        <w:tc>
          <w:tcPr>
            <w:tcW w:w="1804" w:type="dxa"/>
          </w:tcPr>
          <w:p w:rsidR="007F0573" w:rsidRPr="007F0573" w:rsidRDefault="007F0573" w:rsidP="007F0573">
            <w:r w:rsidRPr="007F0573">
              <w:t>Low</w:t>
            </w:r>
          </w:p>
        </w:tc>
        <w:tc>
          <w:tcPr>
            <w:tcW w:w="2268" w:type="dxa"/>
          </w:tcPr>
          <w:p w:rsidR="007F0573" w:rsidRPr="007F0573" w:rsidRDefault="007F0573" w:rsidP="007F0573">
            <w:r w:rsidRPr="007F0573">
              <w:t>Assessment by the Mission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High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Monitoring field visits and reports</w:t>
            </w:r>
          </w:p>
        </w:tc>
        <w:tc>
          <w:tcPr>
            <w:tcW w:w="4394" w:type="dxa"/>
          </w:tcPr>
          <w:p w:rsidR="007F0573" w:rsidRPr="007F0573" w:rsidRDefault="007F0573" w:rsidP="007F0573">
            <w:r w:rsidRPr="007F0573">
              <w:t>The Mission continues training and other administrative support to FLC Partners, and FLC Coordinator continues close monitoring.</w:t>
            </w:r>
          </w:p>
        </w:tc>
      </w:tr>
      <w:tr w:rsidR="007F0573" w:rsidRPr="007F0573" w:rsidTr="007F0573">
        <w:trPr>
          <w:trHeight w:val="802"/>
        </w:trPr>
        <w:tc>
          <w:tcPr>
            <w:tcW w:w="2336" w:type="dxa"/>
          </w:tcPr>
          <w:p w:rsidR="007F0573" w:rsidRPr="007F0573" w:rsidRDefault="007F0573" w:rsidP="007F0573">
            <w:r w:rsidRPr="007F0573">
              <w:t xml:space="preserve">- Training and other administrative support </w:t>
            </w:r>
            <w:proofErr w:type="gramStart"/>
            <w:r w:rsidRPr="007F0573">
              <w:t>doesn't</w:t>
            </w:r>
            <w:proofErr w:type="gramEnd"/>
            <w:r w:rsidRPr="007F0573">
              <w:t xml:space="preserve"> reach relevant people.</w:t>
            </w:r>
          </w:p>
        </w:tc>
        <w:tc>
          <w:tcPr>
            <w:tcW w:w="1804" w:type="dxa"/>
          </w:tcPr>
          <w:p w:rsidR="007F0573" w:rsidRPr="007F0573" w:rsidRDefault="007F0573" w:rsidP="007F0573">
            <w:r w:rsidRPr="007F0573">
              <w:t>Medium</w:t>
            </w:r>
          </w:p>
        </w:tc>
        <w:tc>
          <w:tcPr>
            <w:tcW w:w="2268" w:type="dxa"/>
          </w:tcPr>
          <w:p w:rsidR="007F0573" w:rsidRPr="007F0573" w:rsidRDefault="007F0573" w:rsidP="007F0573">
            <w:r w:rsidRPr="007F0573">
              <w:t>Assessment by the Mission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High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Monitoring field visits and reports</w:t>
            </w:r>
          </w:p>
        </w:tc>
        <w:tc>
          <w:tcPr>
            <w:tcW w:w="4394" w:type="dxa"/>
          </w:tcPr>
          <w:p w:rsidR="007F0573" w:rsidRPr="007F0573" w:rsidRDefault="007F0573" w:rsidP="007F0573">
            <w:pPr>
              <w:rPr>
                <w:iCs/>
              </w:rPr>
            </w:pPr>
            <w:r w:rsidRPr="007F0573">
              <w:rPr>
                <w:iCs/>
              </w:rPr>
              <w:t>The FLC Coordinator plans training in close cooperation with FLC Partners.</w:t>
            </w:r>
          </w:p>
        </w:tc>
      </w:tr>
      <w:tr w:rsidR="007F0573" w:rsidRPr="007F0573" w:rsidTr="007F0573">
        <w:trPr>
          <w:trHeight w:val="818"/>
        </w:trPr>
        <w:tc>
          <w:tcPr>
            <w:tcW w:w="2336" w:type="dxa"/>
          </w:tcPr>
          <w:p w:rsidR="007F0573" w:rsidRPr="007F0573" w:rsidRDefault="007F0573" w:rsidP="007F0573">
            <w:r w:rsidRPr="007F0573">
              <w:t xml:space="preserve">- Duty-bearers' and rights-holders' low interest in women's </w:t>
            </w:r>
            <w:r w:rsidRPr="007F0573">
              <w:lastRenderedPageBreak/>
              <w:t>and vulnerable groups' rights.</w:t>
            </w:r>
          </w:p>
        </w:tc>
        <w:tc>
          <w:tcPr>
            <w:tcW w:w="1804" w:type="dxa"/>
          </w:tcPr>
          <w:p w:rsidR="007F0573" w:rsidRPr="007F0573" w:rsidRDefault="007F0573" w:rsidP="007F0573">
            <w:r w:rsidRPr="007F0573">
              <w:lastRenderedPageBreak/>
              <w:t>High</w:t>
            </w:r>
          </w:p>
        </w:tc>
        <w:tc>
          <w:tcPr>
            <w:tcW w:w="2268" w:type="dxa"/>
          </w:tcPr>
          <w:p w:rsidR="007F0573" w:rsidRPr="007F0573" w:rsidRDefault="007F0573" w:rsidP="007F0573">
            <w:r w:rsidRPr="007F0573">
              <w:t>Reports from FLC Partners and other civil society actors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Medium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Donor working group, civil society actors</w:t>
            </w:r>
          </w:p>
        </w:tc>
        <w:tc>
          <w:tcPr>
            <w:tcW w:w="4394" w:type="dxa"/>
          </w:tcPr>
          <w:p w:rsidR="007F0573" w:rsidRPr="007F0573" w:rsidRDefault="007F0573" w:rsidP="007F0573">
            <w:pPr>
              <w:rPr>
                <w:iCs/>
              </w:rPr>
            </w:pPr>
            <w:r w:rsidRPr="007F0573">
              <w:rPr>
                <w:iCs/>
              </w:rPr>
              <w:t>The Mission conducts dialogue with key duty- bearers and rights-holders.</w:t>
            </w:r>
          </w:p>
        </w:tc>
      </w:tr>
      <w:tr w:rsidR="007F0573" w:rsidRPr="007F0573" w:rsidTr="007F0573">
        <w:trPr>
          <w:trHeight w:val="223"/>
        </w:trPr>
        <w:tc>
          <w:tcPr>
            <w:tcW w:w="14346" w:type="dxa"/>
            <w:gridSpan w:val="6"/>
            <w:shd w:val="clear" w:color="auto" w:fill="EDEDED" w:themeFill="accent3" w:themeFillTint="33"/>
          </w:tcPr>
          <w:p w:rsidR="007F0573" w:rsidRPr="007F0573" w:rsidRDefault="007F0573" w:rsidP="007F0573">
            <w:pPr>
              <w:rPr>
                <w:b/>
              </w:rPr>
            </w:pPr>
            <w:r w:rsidRPr="007F0573">
              <w:rPr>
                <w:b/>
              </w:rPr>
              <w:t>Institutional risks:</w:t>
            </w:r>
          </w:p>
        </w:tc>
      </w:tr>
      <w:tr w:rsidR="007F0573" w:rsidRPr="007F0573" w:rsidTr="007F0573">
        <w:trPr>
          <w:trHeight w:val="610"/>
        </w:trPr>
        <w:tc>
          <w:tcPr>
            <w:tcW w:w="2336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- Limited financial resources of civil society actors.</w:t>
            </w:r>
          </w:p>
        </w:tc>
        <w:tc>
          <w:tcPr>
            <w:tcW w:w="1804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High</w:t>
            </w:r>
          </w:p>
        </w:tc>
        <w:tc>
          <w:tcPr>
            <w:tcW w:w="2268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Donor working group, civil society actors</w:t>
            </w:r>
          </w:p>
        </w:tc>
        <w:tc>
          <w:tcPr>
            <w:tcW w:w="1134" w:type="dxa"/>
          </w:tcPr>
          <w:p w:rsidR="007F0573" w:rsidRPr="007F0573" w:rsidRDefault="007F0573" w:rsidP="007F0573">
            <w:pPr>
              <w:rPr>
                <w:i/>
                <w:iCs/>
              </w:rPr>
            </w:pPr>
            <w:r w:rsidRPr="007F0573">
              <w:t>High</w:t>
            </w:r>
          </w:p>
        </w:tc>
        <w:tc>
          <w:tcPr>
            <w:tcW w:w="2410" w:type="dxa"/>
          </w:tcPr>
          <w:p w:rsidR="007F0573" w:rsidRPr="007F0573" w:rsidRDefault="007F0573" w:rsidP="007F0573">
            <w:r w:rsidRPr="007F0573">
              <w:t>Donor working group, civil society actors</w:t>
            </w:r>
          </w:p>
        </w:tc>
        <w:tc>
          <w:tcPr>
            <w:tcW w:w="4394" w:type="dxa"/>
          </w:tcPr>
          <w:p w:rsidR="007F0573" w:rsidRPr="007F0573" w:rsidRDefault="007F0573" w:rsidP="007F0573">
            <w:pPr>
              <w:rPr>
                <w:iCs/>
              </w:rPr>
            </w:pPr>
            <w:r w:rsidRPr="007F0573">
              <w:t xml:space="preserve">Donors </w:t>
            </w:r>
            <w:r w:rsidRPr="007F0573">
              <w:rPr>
                <w:iCs/>
              </w:rPr>
              <w:t>coordinate efforts to support civil society actors financially.</w:t>
            </w:r>
          </w:p>
        </w:tc>
      </w:tr>
      <w:tr w:rsidR="007F0573" w:rsidRPr="007F0573" w:rsidTr="007F0573">
        <w:trPr>
          <w:trHeight w:val="1233"/>
        </w:trPr>
        <w:tc>
          <w:tcPr>
            <w:tcW w:w="2336" w:type="dxa"/>
          </w:tcPr>
          <w:p w:rsidR="007F0573" w:rsidRPr="007F0573" w:rsidRDefault="007F0573" w:rsidP="007F0573">
            <w:r w:rsidRPr="007F0573">
              <w:t>- Low capacity and resources of the Mission to keep up FLC Programme's administrative support to FLC Partners.</w:t>
            </w:r>
          </w:p>
        </w:tc>
        <w:tc>
          <w:tcPr>
            <w:tcW w:w="1804" w:type="dxa"/>
          </w:tcPr>
          <w:p w:rsidR="007F0573" w:rsidRPr="007F0573" w:rsidRDefault="007F0573" w:rsidP="007F0573">
            <w:r w:rsidRPr="007F0573">
              <w:t>Low</w:t>
            </w:r>
          </w:p>
        </w:tc>
        <w:tc>
          <w:tcPr>
            <w:tcW w:w="2268" w:type="dxa"/>
          </w:tcPr>
          <w:p w:rsidR="007F0573" w:rsidRPr="007F0573" w:rsidRDefault="007F0573" w:rsidP="007F0573">
            <w:pPr>
              <w:rPr>
                <w:iCs/>
              </w:rPr>
            </w:pPr>
            <w:r w:rsidRPr="007F0573">
              <w:rPr>
                <w:iCs/>
              </w:rPr>
              <w:t>Reports from FLC Partners</w:t>
            </w:r>
          </w:p>
        </w:tc>
        <w:tc>
          <w:tcPr>
            <w:tcW w:w="1134" w:type="dxa"/>
          </w:tcPr>
          <w:p w:rsidR="007F0573" w:rsidRPr="007F0573" w:rsidRDefault="007F0573" w:rsidP="007F0573">
            <w:r w:rsidRPr="007F0573">
              <w:t>High</w:t>
            </w:r>
          </w:p>
        </w:tc>
        <w:tc>
          <w:tcPr>
            <w:tcW w:w="2410" w:type="dxa"/>
          </w:tcPr>
          <w:p w:rsidR="007F0573" w:rsidRPr="007F0573" w:rsidRDefault="007F0573" w:rsidP="007F0573">
            <w:pPr>
              <w:rPr>
                <w:iCs/>
              </w:rPr>
            </w:pPr>
            <w:r w:rsidRPr="007F0573">
              <w:rPr>
                <w:iCs/>
              </w:rPr>
              <w:t>Monitoring field visits and reports</w:t>
            </w:r>
          </w:p>
        </w:tc>
        <w:tc>
          <w:tcPr>
            <w:tcW w:w="4394" w:type="dxa"/>
          </w:tcPr>
          <w:p w:rsidR="007F0573" w:rsidRPr="007F0573" w:rsidRDefault="007F0573" w:rsidP="007F0573">
            <w:r w:rsidRPr="007F0573">
              <w:t>The Mission takes capacity and resource issues in account in the Annual FLC Plans and operational plans (TTS).</w:t>
            </w:r>
          </w:p>
        </w:tc>
      </w:tr>
    </w:tbl>
    <w:p w:rsidR="007F0573" w:rsidRPr="007F0573" w:rsidRDefault="007F0573" w:rsidP="007F0573"/>
    <w:p w:rsidR="007046EC" w:rsidRDefault="007046EC">
      <w:pPr>
        <w:spacing w:after="160" w:line="259" w:lineRule="auto"/>
      </w:pPr>
      <w:r>
        <w:br w:type="page"/>
      </w:r>
    </w:p>
    <w:p w:rsidR="000F35B4" w:rsidRDefault="000F35B4">
      <w:pPr>
        <w:rPr>
          <w:b/>
          <w:i/>
        </w:rPr>
      </w:pPr>
      <w:r w:rsidRPr="000F35B4">
        <w:rPr>
          <w:b/>
          <w:i/>
        </w:rPr>
        <w:lastRenderedPageBreak/>
        <w:t>Attachment 7: Result Framework (Sample)</w:t>
      </w:r>
    </w:p>
    <w:p w:rsidR="000F35B4" w:rsidRPr="000F35B4" w:rsidRDefault="000F35B4">
      <w:pPr>
        <w:rPr>
          <w:b/>
          <w:i/>
        </w:rPr>
      </w:pPr>
    </w:p>
    <w:p w:rsidR="000F35B4" w:rsidRDefault="000F35B4" w:rsidP="000F35B4">
      <w:pPr>
        <w:rPr>
          <w:rFonts w:cs="Arial"/>
          <w:b/>
          <w:i/>
          <w:lang w:eastAsia="en-US"/>
        </w:rPr>
      </w:pPr>
      <w:r w:rsidRPr="000F35B4">
        <w:rPr>
          <w:rFonts w:cs="Arial"/>
          <w:lang w:eastAsia="en-US"/>
        </w:rPr>
        <w:t xml:space="preserve">Organisation name: </w:t>
      </w:r>
      <w:r w:rsidRPr="007046EC">
        <w:rPr>
          <w:rFonts w:cs="Arial"/>
          <w:b/>
          <w:i/>
          <w:highlight w:val="yellow"/>
          <w:lang w:eastAsia="en-US"/>
        </w:rPr>
        <w:t>INSERT ORGANISATION NAME HERE</w:t>
      </w:r>
    </w:p>
    <w:p w:rsidR="007046EC" w:rsidRPr="000F35B4" w:rsidRDefault="007046EC" w:rsidP="000F35B4">
      <w:pPr>
        <w:rPr>
          <w:rFonts w:cs="Arial"/>
          <w:b/>
          <w:i/>
          <w:lang w:eastAsia="en-US"/>
        </w:rPr>
      </w:pPr>
    </w:p>
    <w:p w:rsidR="000F35B4" w:rsidRPr="000F35B4" w:rsidRDefault="000F35B4" w:rsidP="000F35B4">
      <w:pPr>
        <w:rPr>
          <w:rFonts w:cs="Arial"/>
          <w:lang w:eastAsia="en-US"/>
        </w:rPr>
      </w:pPr>
      <w:r w:rsidRPr="000F35B4">
        <w:rPr>
          <w:rFonts w:cs="Arial"/>
          <w:lang w:val="en-US" w:eastAsia="en-US"/>
        </w:rPr>
        <w:t xml:space="preserve">Project name and duration: </w:t>
      </w:r>
      <w:r w:rsidRPr="007046EC">
        <w:rPr>
          <w:rFonts w:cs="Arial"/>
          <w:b/>
          <w:i/>
          <w:highlight w:val="yellow"/>
          <w:lang w:val="en-US" w:eastAsia="en-US"/>
        </w:rPr>
        <w:t>INSERT PROJECT NAME AND DURATION HERE</w:t>
      </w:r>
    </w:p>
    <w:p w:rsidR="000F35B4" w:rsidRPr="000F35B4" w:rsidRDefault="000F35B4" w:rsidP="000F35B4">
      <w:pPr>
        <w:jc w:val="center"/>
        <w:rPr>
          <w:b/>
          <w:sz w:val="28"/>
          <w:szCs w:val="28"/>
          <w:lang w:val="en-US" w:eastAsia="en-US"/>
        </w:rPr>
      </w:pPr>
    </w:p>
    <w:p w:rsidR="000F35B4" w:rsidRPr="000F35B4" w:rsidRDefault="000F35B4" w:rsidP="000F35B4">
      <w:pPr>
        <w:rPr>
          <w:lang w:eastAsia="fr-FR"/>
        </w:rPr>
      </w:pPr>
      <w:r w:rsidRPr="000F35B4">
        <w:rPr>
          <w:lang w:eastAsia="fr-FR"/>
        </w:rPr>
        <w:t xml:space="preserve">Result Framework of a fictive FLC-project. </w:t>
      </w:r>
    </w:p>
    <w:tbl>
      <w:tblPr>
        <w:tblpPr w:leftFromText="180" w:rightFromText="180" w:vertAnchor="page" w:horzAnchor="margin" w:tblpY="3534"/>
        <w:tblW w:w="13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693"/>
        <w:gridCol w:w="2977"/>
        <w:gridCol w:w="3260"/>
        <w:gridCol w:w="3152"/>
      </w:tblGrid>
      <w:tr w:rsidR="000F35B4" w:rsidRPr="000F35B4" w:rsidTr="000F35B4">
        <w:trPr>
          <w:trHeight w:val="220"/>
        </w:trPr>
        <w:tc>
          <w:tcPr>
            <w:tcW w:w="4361" w:type="dxa"/>
            <w:gridSpan w:val="2"/>
            <w:shd w:val="clear" w:color="auto" w:fill="C9C9C9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Implementation</w:t>
            </w:r>
          </w:p>
        </w:tc>
        <w:tc>
          <w:tcPr>
            <w:tcW w:w="9389" w:type="dxa"/>
            <w:gridSpan w:val="3"/>
            <w:shd w:val="clear" w:color="auto" w:fill="C9C9C9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Results</w:t>
            </w:r>
          </w:p>
        </w:tc>
      </w:tr>
      <w:tr w:rsidR="000F35B4" w:rsidRPr="000F35B4" w:rsidTr="000F35B4">
        <w:trPr>
          <w:trHeight w:val="264"/>
        </w:trPr>
        <w:tc>
          <w:tcPr>
            <w:tcW w:w="1668" w:type="dxa"/>
            <w:shd w:val="clear" w:color="auto" w:fill="DBDBDB"/>
          </w:tcPr>
          <w:p w:rsidR="000F35B4" w:rsidRPr="000F35B4" w:rsidRDefault="000F35B4" w:rsidP="000F35B4">
            <w:pPr>
              <w:tabs>
                <w:tab w:val="center" w:pos="955"/>
                <w:tab w:val="right" w:pos="19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lang w:val="en-US" w:eastAsia="en-US"/>
              </w:rPr>
              <w:t>INPUTS</w:t>
            </w:r>
          </w:p>
        </w:tc>
        <w:tc>
          <w:tcPr>
            <w:tcW w:w="2693" w:type="dxa"/>
            <w:shd w:val="clear" w:color="auto" w:fill="DBDBDB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lang w:val="en-US" w:eastAsia="en-US"/>
              </w:rPr>
              <w:t>ACTIVITIES</w:t>
            </w:r>
          </w:p>
        </w:tc>
        <w:tc>
          <w:tcPr>
            <w:tcW w:w="2977" w:type="dxa"/>
            <w:shd w:val="clear" w:color="auto" w:fill="DBDBDB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lang w:val="en-US" w:eastAsia="en-US"/>
              </w:rPr>
              <w:t>OUTPUTS</w:t>
            </w:r>
          </w:p>
        </w:tc>
        <w:tc>
          <w:tcPr>
            <w:tcW w:w="3260" w:type="dxa"/>
            <w:shd w:val="clear" w:color="auto" w:fill="DBDBDB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lang w:val="en-US" w:eastAsia="en-US"/>
              </w:rPr>
              <w:t>OUTCOME</w:t>
            </w:r>
          </w:p>
        </w:tc>
        <w:tc>
          <w:tcPr>
            <w:tcW w:w="3152" w:type="dxa"/>
            <w:shd w:val="clear" w:color="auto" w:fill="DBDBDB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lang w:val="en-US" w:eastAsia="en-US"/>
              </w:rPr>
              <w:t>IMPACT</w:t>
            </w:r>
          </w:p>
        </w:tc>
      </w:tr>
      <w:tr w:rsidR="000F35B4" w:rsidRPr="000F35B4" w:rsidTr="000F35B4">
        <w:trPr>
          <w:trHeight w:val="1404"/>
        </w:trPr>
        <w:tc>
          <w:tcPr>
            <w:tcW w:w="1668" w:type="dxa"/>
            <w:shd w:val="clear" w:color="auto" w:fill="EDEDED"/>
            <w:vAlign w:val="center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Funding and other support by the Mission</w:t>
            </w:r>
          </w:p>
        </w:tc>
        <w:tc>
          <w:tcPr>
            <w:tcW w:w="2693" w:type="dxa"/>
            <w:shd w:val="clear" w:color="auto" w:fill="EDEDED"/>
            <w:vAlign w:val="center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Main activities of the project</w:t>
            </w:r>
          </w:p>
        </w:tc>
        <w:tc>
          <w:tcPr>
            <w:tcW w:w="2977" w:type="dxa"/>
            <w:shd w:val="clear" w:color="auto" w:fill="EDEDED"/>
            <w:vAlign w:val="center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Expected main output of the project</w:t>
            </w:r>
          </w:p>
        </w:tc>
        <w:tc>
          <w:tcPr>
            <w:tcW w:w="3260" w:type="dxa"/>
            <w:shd w:val="clear" w:color="auto" w:fill="EDEDED"/>
            <w:vAlign w:val="center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i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 xml:space="preserve">Thematic outcome of the FLC </w:t>
            </w:r>
            <w:proofErr w:type="spellStart"/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 xml:space="preserve"> to which the project's output is expected to contribute</w:t>
            </w: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 xml:space="preserve"> (a s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hort and medium term effect of  the project)</w:t>
            </w:r>
          </w:p>
        </w:tc>
        <w:tc>
          <w:tcPr>
            <w:tcW w:w="3152" w:type="dxa"/>
            <w:shd w:val="clear" w:color="auto" w:fill="EDEDED"/>
            <w:vAlign w:val="center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 xml:space="preserve">Overall objective / Impact of the FLC </w:t>
            </w:r>
            <w:proofErr w:type="spellStart"/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Programme</w:t>
            </w:r>
            <w:proofErr w:type="spellEnd"/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(long-term effects produced by the FLC </w:t>
            </w:r>
            <w:proofErr w:type="spell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)</w:t>
            </w:r>
          </w:p>
        </w:tc>
      </w:tr>
      <w:tr w:rsidR="000F35B4" w:rsidRPr="000F35B4" w:rsidTr="000F35B4">
        <w:trPr>
          <w:trHeight w:val="1400"/>
        </w:trPr>
        <w:tc>
          <w:tcPr>
            <w:tcW w:w="1668" w:type="dxa"/>
            <w:shd w:val="clear" w:color="auto" w:fill="FFFFFF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u w:val="single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u w:val="single"/>
                <w:lang w:val="en-US" w:eastAsia="en-US"/>
              </w:rPr>
              <w:t>EXAMPLE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 xml:space="preserve">A project on voter and civic education in the targeted provinces </w:t>
            </w:r>
            <w:r w:rsidRPr="000F35B4">
              <w:rPr>
                <w:rFonts w:ascii="Arial" w:eastAsia="MS PGothic" w:hAnsi="Arial" w:cs="Arial"/>
                <w:b/>
                <w:i/>
                <w:sz w:val="18"/>
                <w:szCs w:val="18"/>
                <w:lang w:val="en-US" w:eastAsia="en-US"/>
              </w:rPr>
              <w:t>XX</w:t>
            </w:r>
          </w:p>
        </w:tc>
        <w:tc>
          <w:tcPr>
            <w:tcW w:w="2693" w:type="dxa"/>
            <w:shd w:val="clear" w:color="auto" w:fill="FFFFFF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Voter and civic education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i/>
                <w:iCs/>
                <w:color w:val="404040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 xml:space="preserve">-  For example, the FLC partner organization organizes training and dissemination of information to inform voters and civil society actors about civic rights </w:t>
            </w:r>
            <w:proofErr w:type="gramStart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and  elections</w:t>
            </w:r>
            <w:proofErr w:type="gramEnd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977" w:type="dxa"/>
            <w:shd w:val="clear" w:color="auto" w:fill="FFFFFF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For example, c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itizens and civil society actors </w:t>
            </w:r>
            <w:proofErr w:type="gram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have been informed</w:t>
            </w:r>
            <w:proofErr w:type="gram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of civic rights and electoral processes.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Indicators</w:t>
            </w: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, for example</w:t>
            </w: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Number of the people reached, including the share of women and vulnerable groups.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Number of the workshops held.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Amount of the materials disseminated.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Number of the civil society actors involved.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Baseline data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, for example</w:t>
            </w: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Data in the needs assessment / baseline study of the project.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lastRenderedPageBreak/>
              <w:t>Risks</w:t>
            </w: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, for example</w:t>
            </w: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MS PGothic" w:hAnsi="Arial" w:cs="Arial"/>
                <w:i/>
                <w:iCs/>
                <w:color w:val="404040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 xml:space="preserve">Many marginalized communities </w:t>
            </w:r>
            <w:proofErr w:type="gramStart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are not reached</w:t>
            </w:r>
            <w:proofErr w:type="gramEnd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 xml:space="preserve"> by the project.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MS PGothic" w:hAnsi="Arial" w:cs="Arial"/>
                <w:i/>
                <w:iCs/>
                <w:color w:val="404040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Low interest of people and civil society actors in elections and politics.</w:t>
            </w:r>
          </w:p>
          <w:p w:rsidR="000F35B4" w:rsidRPr="000F35B4" w:rsidRDefault="000F35B4" w:rsidP="000F35B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Low interest of people in women's and vulnerable groups' rights.</w:t>
            </w:r>
          </w:p>
        </w:tc>
        <w:tc>
          <w:tcPr>
            <w:tcW w:w="3260" w:type="dxa"/>
            <w:shd w:val="clear" w:color="auto" w:fill="FFFFFF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Improved understanding of citizens and civil society actors, particularly women and vulnerable groups, about civic rights and electoral system.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Indicators:</w:t>
            </w:r>
          </w:p>
          <w:p w:rsidR="000F35B4" w:rsidRPr="000F35B4" w:rsidRDefault="000F35B4" w:rsidP="000F35B4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iCs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iCs/>
                <w:sz w:val="18"/>
                <w:szCs w:val="18"/>
                <w:lang w:val="en-US" w:eastAsia="en-US"/>
              </w:rPr>
              <w:t>General turnout in elections and the share of women and vulnerable groups among voters,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candidates and elected decision-makers.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iCs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Baseline data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(when the current FLC </w:t>
            </w:r>
            <w:proofErr w:type="spell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started)</w:t>
            </w: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Data in the needs assessment / baseline study of the sector / theme A of the FLC </w:t>
            </w:r>
            <w:proofErr w:type="spell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.</w:t>
            </w:r>
          </w:p>
          <w:p w:rsidR="000F35B4" w:rsidRPr="000F35B4" w:rsidRDefault="000F35B4" w:rsidP="000F35B4">
            <w:pPr>
              <w:numPr>
                <w:ilvl w:val="0"/>
                <w:numId w:val="5"/>
              </w:numPr>
              <w:contextualSpacing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Statistical data on the elections.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Risks:</w:t>
            </w:r>
          </w:p>
          <w:p w:rsidR="000F35B4" w:rsidRPr="000F35B4" w:rsidRDefault="000F35B4" w:rsidP="000F35B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lastRenderedPageBreak/>
              <w:t>Limited interest and resources of civil society actors to participate in elections and politics.</w:t>
            </w:r>
          </w:p>
          <w:p w:rsidR="000F35B4" w:rsidRPr="000F35B4" w:rsidRDefault="000F35B4" w:rsidP="000F35B4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 xml:space="preserve">Duty-bearers' and </w:t>
            </w:r>
            <w:proofErr w:type="spellStart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rightsholders</w:t>
            </w:r>
            <w:proofErr w:type="spellEnd"/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' low interest in women's and vulnerable groups' rights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, </w:t>
            </w:r>
          </w:p>
          <w:p w:rsidR="000F35B4" w:rsidRPr="000F35B4" w:rsidRDefault="000F35B4" w:rsidP="000F35B4">
            <w:pPr>
              <w:numPr>
                <w:ilvl w:val="0"/>
                <w:numId w:val="6"/>
              </w:numPr>
              <w:contextualSpacing/>
              <w:rPr>
                <w:rFonts w:ascii="Arial" w:eastAsia="MS PGothic" w:hAnsi="Arial" w:cs="Arial"/>
                <w:i/>
                <w:iCs/>
                <w:color w:val="404040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Political unrest or conflicts halt democracy and HR processes.</w:t>
            </w:r>
          </w:p>
          <w:p w:rsidR="000F35B4" w:rsidRPr="000F35B4" w:rsidRDefault="000F35B4" w:rsidP="000F35B4">
            <w:pPr>
              <w:contextualSpacing/>
              <w:rPr>
                <w:rFonts w:ascii="Arial" w:eastAsia="MS PGothic" w:hAnsi="Arial" w:cs="Arial"/>
                <w:iCs/>
                <w:color w:val="404040"/>
                <w:sz w:val="18"/>
                <w:szCs w:val="18"/>
                <w:lang w:val="en-US" w:eastAsia="en-US"/>
              </w:rPr>
            </w:pPr>
          </w:p>
        </w:tc>
        <w:tc>
          <w:tcPr>
            <w:tcW w:w="3152" w:type="dxa"/>
            <w:shd w:val="clear" w:color="auto" w:fill="FFFFFF"/>
          </w:tcPr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Enhanced capacity of civil society actors to promote democracy, equality and Human Rights.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Indicators</w:t>
            </w:r>
            <w:r w:rsidRPr="000F35B4">
              <w:rPr>
                <w:rFonts w:ascii="Arial" w:eastAsia="MS PGothic" w:hAnsi="Arial" w:cs="Arial"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Participation of women's and other NGOs in democracy and HR dialogue processes.</w:t>
            </w:r>
          </w:p>
          <w:p w:rsidR="000F35B4" w:rsidRPr="000F35B4" w:rsidRDefault="000F35B4" w:rsidP="000F35B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Position of the country in the Global Democracy Ranking.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Baseline data</w:t>
            </w: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(when the current FLC </w:t>
            </w:r>
            <w:proofErr w:type="spell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Programme</w:t>
            </w:r>
            <w:proofErr w:type="spell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started)</w:t>
            </w:r>
            <w:r w:rsidRPr="000F35B4">
              <w:rPr>
                <w:rFonts w:ascii="Arial" w:hAnsi="Arial" w:cs="Arial"/>
                <w:b/>
                <w:sz w:val="18"/>
                <w:szCs w:val="18"/>
                <w:lang w:val="en-US" w:eastAsia="en-US"/>
              </w:rPr>
              <w:t>:</w:t>
            </w:r>
          </w:p>
          <w:p w:rsidR="000F35B4" w:rsidRPr="000F35B4" w:rsidRDefault="000F35B4" w:rsidP="000F35B4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Data in EU reports on the participation of civil society actors in democracy and HR dialogues.</w:t>
            </w:r>
          </w:p>
          <w:p w:rsidR="000F35B4" w:rsidRPr="000F35B4" w:rsidRDefault="000F35B4" w:rsidP="000F35B4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Democracy </w:t>
            </w:r>
            <w:proofErr w:type="gramStart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Ranking</w:t>
            </w:r>
            <w:proofErr w:type="gramEnd"/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 index.</w:t>
            </w: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  <w:p w:rsidR="000F35B4" w:rsidRPr="000F35B4" w:rsidRDefault="000F35B4" w:rsidP="000F35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eastAsia="MS PGothic" w:hAnsi="Arial" w:cs="Arial"/>
                <w:b/>
                <w:sz w:val="18"/>
                <w:szCs w:val="18"/>
                <w:lang w:val="en-US" w:eastAsia="en-US"/>
              </w:rPr>
              <w:t>Risks:</w:t>
            </w:r>
          </w:p>
          <w:p w:rsidR="000F35B4" w:rsidRPr="000F35B4" w:rsidRDefault="000F35B4" w:rsidP="000F35B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60"/>
              <w:contextualSpacing/>
              <w:textAlignment w:val="baseline"/>
              <w:rPr>
                <w:rFonts w:ascii="Arial" w:eastAsia="MS PGothic" w:hAnsi="Arial" w:cs="Arial"/>
                <w:i/>
                <w:iCs/>
                <w:color w:val="404040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Restrictions by authorities on civil society.</w:t>
            </w:r>
          </w:p>
          <w:p w:rsidR="000F35B4" w:rsidRPr="000F35B4" w:rsidRDefault="000F35B4" w:rsidP="000F35B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360"/>
              <w:contextualSpacing/>
              <w:textAlignment w:val="baseline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Limited financial resources of civil society actors.</w:t>
            </w:r>
          </w:p>
          <w:p w:rsidR="000F35B4" w:rsidRPr="000F35B4" w:rsidRDefault="000F35B4" w:rsidP="000F35B4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200" w:line="276" w:lineRule="auto"/>
              <w:ind w:left="360"/>
              <w:contextualSpacing/>
              <w:textAlignment w:val="baseline"/>
              <w:rPr>
                <w:rFonts w:eastAsia="MS PGothic" w:cs="Arial"/>
                <w:sz w:val="18"/>
                <w:szCs w:val="18"/>
                <w:lang w:val="en-US" w:eastAsia="en-US"/>
              </w:rPr>
            </w:pPr>
            <w:r w:rsidRPr="000F35B4">
              <w:rPr>
                <w:rFonts w:ascii="Arial" w:hAnsi="Arial" w:cs="Arial"/>
                <w:sz w:val="18"/>
                <w:szCs w:val="18"/>
                <w:lang w:val="en-US" w:eastAsia="en-US"/>
              </w:rPr>
              <w:t>Sudden changes in the Mission's strategy and action plans.</w:t>
            </w:r>
          </w:p>
        </w:tc>
      </w:tr>
    </w:tbl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val="en-US"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Pr="000F35B4" w:rsidRDefault="000F35B4" w:rsidP="000F35B4">
      <w:pPr>
        <w:rPr>
          <w:lang w:eastAsia="fr-FR"/>
        </w:rPr>
      </w:pPr>
    </w:p>
    <w:p w:rsidR="000F35B4" w:rsidRDefault="000F35B4"/>
    <w:p w:rsidR="000F35B4" w:rsidRDefault="000F35B4"/>
    <w:p w:rsidR="000F35B4" w:rsidRDefault="000F35B4"/>
    <w:p w:rsidR="000F35B4" w:rsidRDefault="000F35B4"/>
    <w:p w:rsidR="000F35B4" w:rsidRDefault="000F35B4"/>
    <w:p w:rsidR="007F0573" w:rsidRDefault="007F0573"/>
    <w:p w:rsidR="007F0573" w:rsidRDefault="007F0573"/>
    <w:p w:rsidR="007F0573" w:rsidRDefault="007F0573"/>
    <w:p w:rsidR="007F0573" w:rsidRDefault="007F0573"/>
    <w:p w:rsidR="007F0573" w:rsidRDefault="007F0573"/>
    <w:p w:rsidR="007F0573" w:rsidRDefault="007F0573"/>
    <w:p w:rsidR="007F0573" w:rsidRDefault="007F0573"/>
    <w:p w:rsidR="007F0573" w:rsidRDefault="007F0573"/>
    <w:p w:rsidR="007F0573" w:rsidRDefault="007F0573"/>
    <w:sectPr w:rsidR="007F0573" w:rsidSect="007F0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B4CED"/>
    <w:multiLevelType w:val="hybridMultilevel"/>
    <w:tmpl w:val="4CBC5DE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53411CB1"/>
    <w:multiLevelType w:val="hybridMultilevel"/>
    <w:tmpl w:val="DB3E8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6D5D6D"/>
    <w:multiLevelType w:val="hybridMultilevel"/>
    <w:tmpl w:val="BF4C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702F11"/>
    <w:multiLevelType w:val="hybridMultilevel"/>
    <w:tmpl w:val="34BA3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932223"/>
    <w:multiLevelType w:val="hybridMultilevel"/>
    <w:tmpl w:val="8ACAD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469DA"/>
    <w:multiLevelType w:val="hybridMultilevel"/>
    <w:tmpl w:val="3F7E1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48140E"/>
    <w:multiLevelType w:val="hybridMultilevel"/>
    <w:tmpl w:val="04FC8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5D"/>
    <w:rsid w:val="000F35B4"/>
    <w:rsid w:val="00257D8C"/>
    <w:rsid w:val="005505E5"/>
    <w:rsid w:val="006D42D3"/>
    <w:rsid w:val="007046EC"/>
    <w:rsid w:val="0079635D"/>
    <w:rsid w:val="007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9A8B9-D263-46EA-AC16-BEE08A62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573"/>
    <w:pPr>
      <w:ind w:left="720"/>
      <w:contextualSpacing/>
    </w:pPr>
  </w:style>
  <w:style w:type="table" w:styleId="TableGrid">
    <w:name w:val="Table Grid"/>
    <w:basedOn w:val="TableNormal"/>
    <w:uiPriority w:val="39"/>
    <w:rsid w:val="007F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4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6EC"/>
    <w:rPr>
      <w:rFonts w:ascii="Segoe UI" w:eastAsia="Times New Roman" w:hAnsi="Segoe UI" w:cs="Segoe UI"/>
      <w:sz w:val="18"/>
      <w:szCs w:val="18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865</Words>
  <Characters>7009</Characters>
  <Application>Microsoft Office Word</Application>
  <DocSecurity>0</DocSecurity>
  <Lines>58</Lines>
  <Paragraphs>15</Paragraphs>
  <ScaleCrop>false</ScaleCrop>
  <Company>UM</Company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Sanatova Madina</dc:creator>
  <cp:keywords/>
  <dc:description/>
  <cp:lastModifiedBy>Bogdan Helena</cp:lastModifiedBy>
  <cp:revision>3</cp:revision>
  <dcterms:created xsi:type="dcterms:W3CDTF">2024-05-06T10:06:00Z</dcterms:created>
  <dcterms:modified xsi:type="dcterms:W3CDTF">2024-05-06T10:14:00Z</dcterms:modified>
</cp:coreProperties>
</file>