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3699A" w14:textId="77777777" w:rsidR="00015B1D" w:rsidRPr="00015B1D" w:rsidRDefault="00015B1D">
      <w:pPr>
        <w:rPr>
          <w:b/>
        </w:rPr>
      </w:pPr>
      <w:bookmarkStart w:id="0" w:name="_GoBack"/>
      <w:bookmarkEnd w:id="0"/>
      <w:r w:rsidRPr="00015B1D">
        <w:rPr>
          <w:b/>
        </w:rPr>
        <w:t>Embassy of Finland in Bucharest</w:t>
      </w:r>
    </w:p>
    <w:p w14:paraId="6A76F795" w14:textId="77777777" w:rsidR="00632FA6" w:rsidRPr="00C866F1" w:rsidRDefault="00015B1D">
      <w:pPr>
        <w:rPr>
          <w:i/>
        </w:rPr>
      </w:pPr>
      <w:r w:rsidRPr="00C866F1">
        <w:rPr>
          <w:i/>
        </w:rPr>
        <w:t xml:space="preserve">FLC </w:t>
      </w:r>
      <w:proofErr w:type="spellStart"/>
      <w:r w:rsidRPr="00C866F1">
        <w:rPr>
          <w:i/>
        </w:rPr>
        <w:t>Programme</w:t>
      </w:r>
      <w:proofErr w:type="spellEnd"/>
      <w:r w:rsidRPr="00C866F1">
        <w:rPr>
          <w:i/>
        </w:rPr>
        <w:t xml:space="preserve"> Objectives 2024</w:t>
      </w:r>
    </w:p>
    <w:p w14:paraId="710509A2" w14:textId="77777777" w:rsidR="00E437F5" w:rsidRDefault="00E437F5" w:rsidP="00452C7D">
      <w:pPr>
        <w:spacing w:line="276" w:lineRule="auto"/>
        <w:jc w:val="both"/>
        <w:rPr>
          <w:rFonts w:ascii="Georgia" w:eastAsia="Times New Roman" w:hAnsi="Georgia" w:cs="Arial"/>
          <w:sz w:val="26"/>
          <w:szCs w:val="26"/>
          <w:u w:val="single"/>
        </w:rPr>
      </w:pPr>
    </w:p>
    <w:p w14:paraId="694F8B61" w14:textId="77777777" w:rsidR="00452C7D" w:rsidRPr="00E5728C" w:rsidRDefault="00452C7D" w:rsidP="00452C7D">
      <w:pPr>
        <w:spacing w:line="276" w:lineRule="auto"/>
        <w:jc w:val="both"/>
        <w:rPr>
          <w:b/>
          <w:i/>
        </w:rPr>
      </w:pPr>
      <w:r w:rsidRPr="00EF18D8">
        <w:rPr>
          <w:b/>
        </w:rPr>
        <w:t xml:space="preserve">Objective </w:t>
      </w:r>
      <w:proofErr w:type="gramStart"/>
      <w:r w:rsidRPr="00EF18D8">
        <w:rPr>
          <w:b/>
        </w:rPr>
        <w:t>1</w:t>
      </w:r>
      <w:proofErr w:type="gramEnd"/>
    </w:p>
    <w:p w14:paraId="2BA2E813" w14:textId="77777777" w:rsidR="00452C7D" w:rsidRPr="001718C6" w:rsidRDefault="001718C6" w:rsidP="00452C7D">
      <w:pPr>
        <w:shd w:val="clear" w:color="auto" w:fill="FFFFFF"/>
        <w:rPr>
          <w:b/>
          <w:i/>
        </w:rPr>
      </w:pPr>
      <w:r>
        <w:rPr>
          <w:b/>
        </w:rPr>
        <w:t xml:space="preserve">O1: </w:t>
      </w:r>
      <w:r w:rsidRPr="001718C6">
        <w:rPr>
          <w:b/>
        </w:rPr>
        <w:t xml:space="preserve">Freedom of expression and media diversity are strengthened and media literacy </w:t>
      </w:r>
      <w:r w:rsidR="008630C6">
        <w:rPr>
          <w:b/>
        </w:rPr>
        <w:t>is</w:t>
      </w:r>
      <w:r w:rsidRPr="001718C6">
        <w:rPr>
          <w:b/>
        </w:rPr>
        <w:t xml:space="preserve"> increased</w:t>
      </w:r>
    </w:p>
    <w:p w14:paraId="23ADE098" w14:textId="77777777" w:rsidR="00452C7D" w:rsidRPr="00EF18D8" w:rsidRDefault="00452C7D" w:rsidP="00452C7D">
      <w:pPr>
        <w:shd w:val="clear" w:color="auto" w:fill="FFFFFF"/>
        <w:rPr>
          <w:b/>
          <w:i/>
        </w:rPr>
      </w:pPr>
      <w:r w:rsidRPr="00EF18D8">
        <w:rPr>
          <w:b/>
          <w:i/>
        </w:rPr>
        <w:t>Description of the objective</w:t>
      </w:r>
    </w:p>
    <w:p w14:paraId="608DE9D4" w14:textId="77777777" w:rsidR="006312BA" w:rsidRDefault="006C0DF8" w:rsidP="006312BA">
      <w:pPr>
        <w:shd w:val="clear" w:color="auto" w:fill="FFFFFF"/>
        <w:rPr>
          <w:i/>
        </w:rPr>
      </w:pPr>
      <w:r>
        <w:rPr>
          <w:i/>
        </w:rPr>
        <w:t>The objective is to strengthen freedom of expression</w:t>
      </w:r>
      <w:r w:rsidR="00157C0C">
        <w:rPr>
          <w:i/>
        </w:rPr>
        <w:t xml:space="preserve"> and</w:t>
      </w:r>
      <w:r>
        <w:rPr>
          <w:i/>
        </w:rPr>
        <w:t xml:space="preserve"> media diversity and </w:t>
      </w:r>
      <w:r w:rsidR="00157C0C">
        <w:rPr>
          <w:i/>
        </w:rPr>
        <w:t xml:space="preserve">to </w:t>
      </w:r>
      <w:r>
        <w:rPr>
          <w:i/>
        </w:rPr>
        <w:t xml:space="preserve">increase media literacy. </w:t>
      </w:r>
      <w:r w:rsidR="00157C0C">
        <w:rPr>
          <w:i/>
        </w:rPr>
        <w:t xml:space="preserve">To this end, the </w:t>
      </w:r>
      <w:r>
        <w:rPr>
          <w:i/>
        </w:rPr>
        <w:t xml:space="preserve">following </w:t>
      </w:r>
      <w:r w:rsidR="0032026F">
        <w:rPr>
          <w:i/>
        </w:rPr>
        <w:t>focus areas</w:t>
      </w:r>
      <w:r>
        <w:rPr>
          <w:i/>
        </w:rPr>
        <w:t xml:space="preserve"> </w:t>
      </w:r>
      <w:proofErr w:type="gramStart"/>
      <w:r w:rsidR="00157C0C">
        <w:rPr>
          <w:i/>
        </w:rPr>
        <w:t xml:space="preserve">are </w:t>
      </w:r>
      <w:r w:rsidR="00474C31">
        <w:rPr>
          <w:i/>
        </w:rPr>
        <w:t>supported</w:t>
      </w:r>
      <w:proofErr w:type="gramEnd"/>
      <w:r>
        <w:rPr>
          <w:i/>
        </w:rPr>
        <w:t>:</w:t>
      </w:r>
    </w:p>
    <w:p w14:paraId="3F505636" w14:textId="77777777" w:rsidR="006312BA" w:rsidRPr="001434BD" w:rsidRDefault="006312BA" w:rsidP="001434BD">
      <w:pPr>
        <w:pStyle w:val="ListParagraph"/>
        <w:numPr>
          <w:ilvl w:val="0"/>
          <w:numId w:val="2"/>
        </w:numPr>
        <w:shd w:val="clear" w:color="auto" w:fill="FFFFFF"/>
        <w:rPr>
          <w:i/>
        </w:rPr>
      </w:pPr>
      <w:r w:rsidRPr="001434BD">
        <w:rPr>
          <w:i/>
        </w:rPr>
        <w:t xml:space="preserve">enhancing capacity building of independent media </w:t>
      </w:r>
    </w:p>
    <w:p w14:paraId="08083A8D" w14:textId="77777777" w:rsidR="006312BA" w:rsidRPr="001434BD" w:rsidRDefault="006312BA" w:rsidP="001434BD">
      <w:pPr>
        <w:pStyle w:val="ListParagraph"/>
        <w:numPr>
          <w:ilvl w:val="0"/>
          <w:numId w:val="2"/>
        </w:numPr>
        <w:shd w:val="clear" w:color="auto" w:fill="FFFFFF"/>
        <w:rPr>
          <w:i/>
        </w:rPr>
      </w:pPr>
      <w:r w:rsidRPr="001434BD">
        <w:rPr>
          <w:i/>
        </w:rPr>
        <w:t>enhancing critical thinking and media literacy; resisting disinformation</w:t>
      </w:r>
    </w:p>
    <w:p w14:paraId="3EBADA09" w14:textId="77777777" w:rsidR="006312BA" w:rsidRPr="001434BD" w:rsidRDefault="006312BA" w:rsidP="001434BD">
      <w:pPr>
        <w:pStyle w:val="ListParagraph"/>
        <w:numPr>
          <w:ilvl w:val="0"/>
          <w:numId w:val="2"/>
        </w:numPr>
        <w:shd w:val="clear" w:color="auto" w:fill="FFFFFF"/>
        <w:rPr>
          <w:i/>
        </w:rPr>
      </w:pPr>
      <w:r w:rsidRPr="001434BD">
        <w:rPr>
          <w:i/>
        </w:rPr>
        <w:t xml:space="preserve">promotion of investigative journalism and transparency  </w:t>
      </w:r>
    </w:p>
    <w:p w14:paraId="214B688F" w14:textId="77777777" w:rsidR="00452C7D" w:rsidRPr="00E5728C" w:rsidRDefault="00227428" w:rsidP="00452C7D">
      <w:pPr>
        <w:shd w:val="clear" w:color="auto" w:fill="FFFFFF"/>
        <w:rPr>
          <w:i/>
        </w:rPr>
      </w:pPr>
      <w:r>
        <w:rPr>
          <w:i/>
        </w:rPr>
        <w:t xml:space="preserve">Strengthening freedom of expression and media diversity </w:t>
      </w:r>
      <w:r w:rsidR="00016FDF">
        <w:rPr>
          <w:i/>
        </w:rPr>
        <w:t>contributes to</w:t>
      </w:r>
      <w:r>
        <w:rPr>
          <w:i/>
        </w:rPr>
        <w:t xml:space="preserve"> consolidating a </w:t>
      </w:r>
      <w:r w:rsidR="00016FDF">
        <w:rPr>
          <w:i/>
        </w:rPr>
        <w:t xml:space="preserve">healthy </w:t>
      </w:r>
      <w:r>
        <w:rPr>
          <w:i/>
        </w:rPr>
        <w:t>media environment,</w:t>
      </w:r>
      <w:r w:rsidR="00016FDF">
        <w:rPr>
          <w:i/>
        </w:rPr>
        <w:t xml:space="preserve"> in which </w:t>
      </w:r>
      <w:r w:rsidR="00D96B53">
        <w:rPr>
          <w:i/>
        </w:rPr>
        <w:t xml:space="preserve">the </w:t>
      </w:r>
      <w:r w:rsidR="00FA413C">
        <w:rPr>
          <w:i/>
        </w:rPr>
        <w:t>public</w:t>
      </w:r>
      <w:r w:rsidR="00016FDF">
        <w:rPr>
          <w:i/>
        </w:rPr>
        <w:t xml:space="preserve"> can form opinions based on</w:t>
      </w:r>
      <w:r w:rsidR="00EA3086">
        <w:rPr>
          <w:i/>
        </w:rPr>
        <w:t xml:space="preserve"> a</w:t>
      </w:r>
      <w:r w:rsidR="00016FDF">
        <w:rPr>
          <w:i/>
        </w:rPr>
        <w:t xml:space="preserve"> plurality of credible voices </w:t>
      </w:r>
      <w:r w:rsidR="00831FEF">
        <w:rPr>
          <w:i/>
        </w:rPr>
        <w:t xml:space="preserve">represented </w:t>
      </w:r>
      <w:r w:rsidR="00FA413C">
        <w:rPr>
          <w:i/>
        </w:rPr>
        <w:t>in</w:t>
      </w:r>
      <w:r w:rsidR="00016FDF">
        <w:rPr>
          <w:i/>
        </w:rPr>
        <w:t xml:space="preserve"> </w:t>
      </w:r>
      <w:r w:rsidR="00C21731">
        <w:rPr>
          <w:i/>
        </w:rPr>
        <w:t xml:space="preserve">economically </w:t>
      </w:r>
      <w:r w:rsidR="00B47D58">
        <w:rPr>
          <w:i/>
        </w:rPr>
        <w:t>sustainable</w:t>
      </w:r>
      <w:r w:rsidR="00C21731">
        <w:rPr>
          <w:i/>
        </w:rPr>
        <w:t xml:space="preserve"> </w:t>
      </w:r>
      <w:r w:rsidR="00016FDF">
        <w:rPr>
          <w:i/>
        </w:rPr>
        <w:t>independent media</w:t>
      </w:r>
      <w:r w:rsidR="00FA413C">
        <w:rPr>
          <w:i/>
        </w:rPr>
        <w:t xml:space="preserve"> </w:t>
      </w:r>
      <w:r w:rsidR="00D16323">
        <w:rPr>
          <w:i/>
        </w:rPr>
        <w:t xml:space="preserve">in their own language </w:t>
      </w:r>
      <w:r w:rsidR="00D96B53">
        <w:rPr>
          <w:i/>
        </w:rPr>
        <w:t xml:space="preserve">in the whole </w:t>
      </w:r>
      <w:r w:rsidR="00C21731">
        <w:rPr>
          <w:i/>
        </w:rPr>
        <w:t xml:space="preserve">area </w:t>
      </w:r>
      <w:r w:rsidR="00D96B53">
        <w:rPr>
          <w:i/>
        </w:rPr>
        <w:t xml:space="preserve">of </w:t>
      </w:r>
      <w:r w:rsidR="00C21731">
        <w:rPr>
          <w:i/>
        </w:rPr>
        <w:t xml:space="preserve">the Republic of </w:t>
      </w:r>
      <w:r w:rsidR="00D96B53">
        <w:rPr>
          <w:i/>
        </w:rPr>
        <w:t>Moldova</w:t>
      </w:r>
      <w:r w:rsidR="00016FDF">
        <w:rPr>
          <w:i/>
        </w:rPr>
        <w:t xml:space="preserve">. </w:t>
      </w:r>
      <w:r w:rsidR="00C21731">
        <w:rPr>
          <w:i/>
        </w:rPr>
        <w:t>Increasing media literacy contributes to an informed public, which forms opinions based on credible</w:t>
      </w:r>
      <w:r w:rsidR="00A85ADC">
        <w:rPr>
          <w:i/>
        </w:rPr>
        <w:t xml:space="preserve"> information sources,</w:t>
      </w:r>
      <w:r w:rsidR="00C21731">
        <w:rPr>
          <w:i/>
        </w:rPr>
        <w:t xml:space="preserve"> is more resist</w:t>
      </w:r>
      <w:r w:rsidR="008C3489">
        <w:rPr>
          <w:i/>
        </w:rPr>
        <w:t>a</w:t>
      </w:r>
      <w:r w:rsidR="00C21731">
        <w:rPr>
          <w:i/>
        </w:rPr>
        <w:t>nt to misinformation and disinformation</w:t>
      </w:r>
      <w:r w:rsidR="00A85ADC">
        <w:rPr>
          <w:i/>
        </w:rPr>
        <w:t>, and is able to demand more transparent information dissemination</w:t>
      </w:r>
      <w:r w:rsidR="00C21731">
        <w:rPr>
          <w:i/>
        </w:rPr>
        <w:t xml:space="preserve">. </w:t>
      </w:r>
    </w:p>
    <w:p w14:paraId="64F6EEE5" w14:textId="77777777" w:rsidR="00452C7D" w:rsidRPr="00EF18D8" w:rsidRDefault="00452C7D" w:rsidP="00452C7D">
      <w:pPr>
        <w:spacing w:line="276" w:lineRule="auto"/>
        <w:jc w:val="both"/>
        <w:rPr>
          <w:b/>
          <w:bCs/>
        </w:rPr>
      </w:pPr>
      <w:r w:rsidRPr="00EF18D8">
        <w:rPr>
          <w:b/>
          <w:bCs/>
        </w:rPr>
        <w:t>Justification for the objective</w:t>
      </w:r>
    </w:p>
    <w:p w14:paraId="7037A2D3" w14:textId="77777777" w:rsidR="00831FEF" w:rsidRDefault="00100DE3" w:rsidP="006C0DF8">
      <w:pPr>
        <w:shd w:val="clear" w:color="auto" w:fill="FFFFFF"/>
        <w:rPr>
          <w:i/>
        </w:rPr>
      </w:pPr>
      <w:r>
        <w:rPr>
          <w:i/>
        </w:rPr>
        <w:t>The</w:t>
      </w:r>
      <w:r w:rsidR="00831FEF">
        <w:rPr>
          <w:i/>
        </w:rPr>
        <w:t xml:space="preserve"> Embassy has supported the objective for over a decade.</w:t>
      </w:r>
      <w:r>
        <w:rPr>
          <w:i/>
        </w:rPr>
        <w:t xml:space="preserve"> </w:t>
      </w:r>
      <w:r w:rsidR="00831FEF">
        <w:rPr>
          <w:i/>
        </w:rPr>
        <w:t xml:space="preserve">The </w:t>
      </w:r>
      <w:r>
        <w:rPr>
          <w:i/>
        </w:rPr>
        <w:t>m</w:t>
      </w:r>
      <w:r w:rsidR="006C0DF8">
        <w:rPr>
          <w:i/>
        </w:rPr>
        <w:t xml:space="preserve">edia landscape in Moldova has been </w:t>
      </w:r>
      <w:r>
        <w:rPr>
          <w:i/>
        </w:rPr>
        <w:t>characterized</w:t>
      </w:r>
      <w:r w:rsidR="006C0DF8">
        <w:rPr>
          <w:i/>
        </w:rPr>
        <w:t xml:space="preserve"> by concentrated media ownership</w:t>
      </w:r>
      <w:r w:rsidR="00831FEF">
        <w:rPr>
          <w:i/>
        </w:rPr>
        <w:t xml:space="preserve">, content influenced by interest groups, and </w:t>
      </w:r>
      <w:r w:rsidR="006C0DF8">
        <w:rPr>
          <w:i/>
        </w:rPr>
        <w:t>lack of resources for the independent media.</w:t>
      </w:r>
      <w:r w:rsidR="00831FEF">
        <w:rPr>
          <w:i/>
        </w:rPr>
        <w:t xml:space="preserve"> There have been significant challenges related to freedom of expression, but the situation has improved over the past 3 years. Disinformation is common in the Moldovan information space and media literacy skills among the public are low. </w:t>
      </w:r>
      <w:r w:rsidR="00041563">
        <w:rPr>
          <w:i/>
        </w:rPr>
        <w:t xml:space="preserve">The FLC </w:t>
      </w:r>
      <w:proofErr w:type="spellStart"/>
      <w:r w:rsidR="00041563">
        <w:rPr>
          <w:i/>
        </w:rPr>
        <w:t>programme</w:t>
      </w:r>
      <w:proofErr w:type="spellEnd"/>
      <w:r w:rsidR="00041563">
        <w:rPr>
          <w:i/>
        </w:rPr>
        <w:t xml:space="preserve"> provides a flexible tool for supporting local actors working </w:t>
      </w:r>
      <w:r w:rsidR="0071254C">
        <w:rPr>
          <w:i/>
        </w:rPr>
        <w:t>on improvements on the indicated focus areas</w:t>
      </w:r>
      <w:r w:rsidR="00041563">
        <w:rPr>
          <w:i/>
        </w:rPr>
        <w:t>.</w:t>
      </w:r>
    </w:p>
    <w:p w14:paraId="216E7E7A" w14:textId="77777777" w:rsidR="00831FEF" w:rsidRDefault="005D4149" w:rsidP="00BE5B61">
      <w:pPr>
        <w:shd w:val="clear" w:color="auto" w:fill="FFFFFF"/>
        <w:rPr>
          <w:i/>
        </w:rPr>
      </w:pPr>
      <w:r>
        <w:rPr>
          <w:i/>
        </w:rPr>
        <w:t>The Embassy expects to support between 1-2 projects per year in this priority area.</w:t>
      </w:r>
      <w:r w:rsidR="00763E12">
        <w:rPr>
          <w:i/>
        </w:rPr>
        <w:t xml:space="preserve"> Project proposals</w:t>
      </w:r>
      <w:r>
        <w:rPr>
          <w:i/>
        </w:rPr>
        <w:t xml:space="preserve"> that target regional or national level in addition to local level are encouraged. A</w:t>
      </w:r>
      <w:r w:rsidRPr="00A30844">
        <w:rPr>
          <w:i/>
        </w:rPr>
        <w:t>pplicants working outside of the capital area</w:t>
      </w:r>
      <w:r>
        <w:rPr>
          <w:i/>
        </w:rPr>
        <w:t xml:space="preserve"> encouraged to apply</w:t>
      </w:r>
      <w:r w:rsidRPr="00A30844">
        <w:rPr>
          <w:i/>
        </w:rPr>
        <w:t>.</w:t>
      </w:r>
    </w:p>
    <w:p w14:paraId="26F6D1AF" w14:textId="77777777" w:rsidR="00C079CA" w:rsidRDefault="00C079CA"/>
    <w:p w14:paraId="65D6E55D" w14:textId="77777777" w:rsidR="00452C7D" w:rsidRDefault="00452C7D">
      <w:r>
        <w:br w:type="page"/>
      </w:r>
    </w:p>
    <w:p w14:paraId="002A02DF" w14:textId="77777777" w:rsidR="00452C7D" w:rsidRPr="00E5728C" w:rsidRDefault="00452C7D" w:rsidP="00452C7D">
      <w:pPr>
        <w:spacing w:line="276" w:lineRule="auto"/>
        <w:jc w:val="both"/>
        <w:rPr>
          <w:b/>
          <w:i/>
        </w:rPr>
      </w:pPr>
      <w:r w:rsidRPr="00EF18D8">
        <w:rPr>
          <w:b/>
        </w:rPr>
        <w:lastRenderedPageBreak/>
        <w:t xml:space="preserve">Objective </w:t>
      </w:r>
      <w:proofErr w:type="gramStart"/>
      <w:r w:rsidR="00F76103">
        <w:rPr>
          <w:b/>
        </w:rPr>
        <w:t>2</w:t>
      </w:r>
      <w:proofErr w:type="gramEnd"/>
    </w:p>
    <w:p w14:paraId="66BCCF92" w14:textId="77777777" w:rsidR="00452C7D" w:rsidRPr="00495756" w:rsidRDefault="00DE4F42" w:rsidP="00452C7D">
      <w:pPr>
        <w:shd w:val="clear" w:color="auto" w:fill="FFFFFF"/>
        <w:rPr>
          <w:b/>
          <w:i/>
        </w:rPr>
      </w:pPr>
      <w:r>
        <w:rPr>
          <w:b/>
        </w:rPr>
        <w:t xml:space="preserve">O2: </w:t>
      </w:r>
      <w:r w:rsidRPr="00F21A70">
        <w:rPr>
          <w:b/>
        </w:rPr>
        <w:t xml:space="preserve">The </w:t>
      </w:r>
      <w:r>
        <w:rPr>
          <w:b/>
        </w:rPr>
        <w:t>rights</w:t>
      </w:r>
      <w:r w:rsidRPr="00F21A70">
        <w:rPr>
          <w:b/>
        </w:rPr>
        <w:t xml:space="preserve"> of women and girls</w:t>
      </w:r>
      <w:r w:rsidR="003C2BCF">
        <w:rPr>
          <w:b/>
        </w:rPr>
        <w:t xml:space="preserve"> </w:t>
      </w:r>
      <w:proofErr w:type="gramStart"/>
      <w:r>
        <w:rPr>
          <w:b/>
        </w:rPr>
        <w:t>are realized</w:t>
      </w:r>
      <w:proofErr w:type="gramEnd"/>
      <w:r>
        <w:rPr>
          <w:b/>
        </w:rPr>
        <w:t xml:space="preserve"> through strengthened </w:t>
      </w:r>
      <w:r w:rsidR="008630C6">
        <w:rPr>
          <w:b/>
        </w:rPr>
        <w:t>participation</w:t>
      </w:r>
      <w:r w:rsidR="003A0BCC">
        <w:rPr>
          <w:b/>
        </w:rPr>
        <w:t xml:space="preserve"> in the society and the economy</w:t>
      </w:r>
    </w:p>
    <w:p w14:paraId="7473F478" w14:textId="77777777" w:rsidR="00452C7D" w:rsidRPr="00EF18D8" w:rsidRDefault="00452C7D" w:rsidP="00452C7D">
      <w:pPr>
        <w:shd w:val="clear" w:color="auto" w:fill="FFFFFF"/>
        <w:rPr>
          <w:b/>
          <w:i/>
        </w:rPr>
      </w:pPr>
      <w:r w:rsidRPr="00EF18D8">
        <w:rPr>
          <w:b/>
          <w:i/>
        </w:rPr>
        <w:t>Description of the objective</w:t>
      </w:r>
    </w:p>
    <w:p w14:paraId="1F76A56B" w14:textId="77777777" w:rsidR="00100509" w:rsidRDefault="003C2BCF" w:rsidP="00404A74">
      <w:pPr>
        <w:shd w:val="clear" w:color="auto" w:fill="FFFFFF"/>
        <w:rPr>
          <w:i/>
        </w:rPr>
      </w:pPr>
      <w:r>
        <w:rPr>
          <w:i/>
        </w:rPr>
        <w:t xml:space="preserve">The objective is to </w:t>
      </w:r>
      <w:r w:rsidR="00100509">
        <w:rPr>
          <w:i/>
        </w:rPr>
        <w:t xml:space="preserve">support the realization of the rights of women and girls through </w:t>
      </w:r>
      <w:r w:rsidR="001C4AE9">
        <w:rPr>
          <w:i/>
        </w:rPr>
        <w:t>strengthening their</w:t>
      </w:r>
      <w:r w:rsidR="00100509">
        <w:rPr>
          <w:i/>
        </w:rPr>
        <w:t xml:space="preserve"> role in the society and economy. To this end, the following focus areas </w:t>
      </w:r>
      <w:proofErr w:type="gramStart"/>
      <w:r w:rsidR="00100509">
        <w:rPr>
          <w:i/>
        </w:rPr>
        <w:t>are supported</w:t>
      </w:r>
      <w:proofErr w:type="gramEnd"/>
      <w:r w:rsidR="00100509">
        <w:rPr>
          <w:i/>
        </w:rPr>
        <w:t>:</w:t>
      </w:r>
    </w:p>
    <w:p w14:paraId="25B4BD3C" w14:textId="77777777" w:rsidR="00100509" w:rsidRPr="00100509" w:rsidRDefault="00100509" w:rsidP="00100509">
      <w:pPr>
        <w:pStyle w:val="ListParagraph"/>
        <w:numPr>
          <w:ilvl w:val="0"/>
          <w:numId w:val="3"/>
        </w:numPr>
        <w:shd w:val="clear" w:color="auto" w:fill="FFFFFF"/>
        <w:rPr>
          <w:i/>
        </w:rPr>
      </w:pPr>
      <w:r w:rsidRPr="00100509">
        <w:rPr>
          <w:i/>
        </w:rPr>
        <w:t xml:space="preserve">enhancing capacity building of non-governmental </w:t>
      </w:r>
      <w:proofErr w:type="spellStart"/>
      <w:r w:rsidRPr="00100509">
        <w:rPr>
          <w:i/>
        </w:rPr>
        <w:t>organisations</w:t>
      </w:r>
      <w:proofErr w:type="spellEnd"/>
      <w:r w:rsidRPr="00100509">
        <w:rPr>
          <w:i/>
        </w:rPr>
        <w:t xml:space="preserve"> promoting women’s rights and gender equality  </w:t>
      </w:r>
    </w:p>
    <w:p w14:paraId="21CC6597" w14:textId="77777777" w:rsidR="00100509" w:rsidRPr="00100509" w:rsidRDefault="00100509" w:rsidP="00100509">
      <w:pPr>
        <w:pStyle w:val="ListParagraph"/>
        <w:numPr>
          <w:ilvl w:val="0"/>
          <w:numId w:val="3"/>
        </w:numPr>
        <w:shd w:val="clear" w:color="auto" w:fill="FFFFFF"/>
        <w:rPr>
          <w:i/>
        </w:rPr>
      </w:pPr>
      <w:r w:rsidRPr="00100509">
        <w:rPr>
          <w:i/>
        </w:rPr>
        <w:t>promoting women’s full and effective participation and equal opportunities in economic life</w:t>
      </w:r>
    </w:p>
    <w:p w14:paraId="39620D93" w14:textId="77777777" w:rsidR="00100509" w:rsidRPr="00100509" w:rsidRDefault="00100509" w:rsidP="00100509">
      <w:pPr>
        <w:pStyle w:val="ListParagraph"/>
        <w:numPr>
          <w:ilvl w:val="0"/>
          <w:numId w:val="3"/>
        </w:numPr>
        <w:shd w:val="clear" w:color="auto" w:fill="FFFFFF"/>
        <w:rPr>
          <w:i/>
        </w:rPr>
      </w:pPr>
      <w:r w:rsidRPr="00100509">
        <w:rPr>
          <w:i/>
        </w:rPr>
        <w:t xml:space="preserve">supporting the end of all forms of discrimination and violence against women and girls </w:t>
      </w:r>
    </w:p>
    <w:p w14:paraId="01AF9154" w14:textId="77777777" w:rsidR="00100509" w:rsidRPr="00100509" w:rsidRDefault="00100509" w:rsidP="00100509">
      <w:pPr>
        <w:pStyle w:val="ListParagraph"/>
        <w:numPr>
          <w:ilvl w:val="0"/>
          <w:numId w:val="3"/>
        </w:numPr>
        <w:shd w:val="clear" w:color="auto" w:fill="FFFFFF"/>
        <w:rPr>
          <w:i/>
        </w:rPr>
      </w:pPr>
      <w:r w:rsidRPr="00100509">
        <w:rPr>
          <w:i/>
        </w:rPr>
        <w:t>supporting youth friendly education and awareness raising on sexual and reproductive health and sexually transmitted infections</w:t>
      </w:r>
    </w:p>
    <w:p w14:paraId="4766FD96" w14:textId="77777777" w:rsidR="00593055" w:rsidRPr="008C3489" w:rsidRDefault="00445CBD" w:rsidP="008C3489">
      <w:pPr>
        <w:shd w:val="clear" w:color="auto" w:fill="FFFFFF"/>
        <w:rPr>
          <w:rFonts w:cs="Arial"/>
          <w:lang w:eastAsia="fi-FI"/>
        </w:rPr>
      </w:pPr>
      <w:r>
        <w:rPr>
          <w:i/>
        </w:rPr>
        <w:t>Promot</w:t>
      </w:r>
      <w:r w:rsidR="004448CA">
        <w:rPr>
          <w:i/>
        </w:rPr>
        <w:t>ion of</w:t>
      </w:r>
      <w:r>
        <w:rPr>
          <w:i/>
        </w:rPr>
        <w:t xml:space="preserve"> equality and </w:t>
      </w:r>
      <w:r w:rsidR="004448CA">
        <w:rPr>
          <w:i/>
        </w:rPr>
        <w:t xml:space="preserve">the </w:t>
      </w:r>
      <w:r>
        <w:rPr>
          <w:i/>
        </w:rPr>
        <w:t xml:space="preserve">rights of women and girls </w:t>
      </w:r>
      <w:r w:rsidR="004448CA">
        <w:rPr>
          <w:i/>
        </w:rPr>
        <w:t>supports</w:t>
      </w:r>
      <w:r w:rsidR="00D16323">
        <w:rPr>
          <w:i/>
        </w:rPr>
        <w:t xml:space="preserve"> </w:t>
      </w:r>
      <w:r w:rsidR="00CC02C2">
        <w:rPr>
          <w:i/>
        </w:rPr>
        <w:t xml:space="preserve">wider </w:t>
      </w:r>
      <w:r>
        <w:rPr>
          <w:i/>
        </w:rPr>
        <w:t>utiliz</w:t>
      </w:r>
      <w:r w:rsidR="00D16323">
        <w:rPr>
          <w:i/>
        </w:rPr>
        <w:t>ation of</w:t>
      </w:r>
      <w:r>
        <w:rPr>
          <w:i/>
        </w:rPr>
        <w:t xml:space="preserve"> human capital </w:t>
      </w:r>
      <w:r w:rsidR="00CC02C2">
        <w:rPr>
          <w:i/>
        </w:rPr>
        <w:t xml:space="preserve">in the Republic of Moldova </w:t>
      </w:r>
      <w:r w:rsidR="004448CA">
        <w:rPr>
          <w:i/>
        </w:rPr>
        <w:t>and</w:t>
      </w:r>
      <w:r w:rsidR="00F229F7">
        <w:rPr>
          <w:i/>
        </w:rPr>
        <w:t xml:space="preserve"> </w:t>
      </w:r>
      <w:r>
        <w:rPr>
          <w:i/>
        </w:rPr>
        <w:t xml:space="preserve">contributes to building a more democratic, </w:t>
      </w:r>
      <w:r w:rsidR="009A3530">
        <w:rPr>
          <w:i/>
        </w:rPr>
        <w:t>equal</w:t>
      </w:r>
      <w:r>
        <w:rPr>
          <w:i/>
        </w:rPr>
        <w:t xml:space="preserve"> and sustainable society. </w:t>
      </w:r>
    </w:p>
    <w:p w14:paraId="551B3491" w14:textId="77777777" w:rsidR="00452C7D" w:rsidRPr="00EF18D8" w:rsidRDefault="00452C7D" w:rsidP="00452C7D">
      <w:pPr>
        <w:spacing w:line="276" w:lineRule="auto"/>
        <w:jc w:val="both"/>
        <w:rPr>
          <w:b/>
          <w:bCs/>
        </w:rPr>
      </w:pPr>
      <w:r w:rsidRPr="00EF18D8">
        <w:rPr>
          <w:b/>
          <w:bCs/>
        </w:rPr>
        <w:t>Justification for the objective</w:t>
      </w:r>
    </w:p>
    <w:p w14:paraId="0FBC7DB0" w14:textId="77777777" w:rsidR="00816335" w:rsidRDefault="00816335" w:rsidP="00593055">
      <w:pPr>
        <w:rPr>
          <w:i/>
        </w:rPr>
      </w:pPr>
      <w:r>
        <w:rPr>
          <w:i/>
        </w:rPr>
        <w:t xml:space="preserve">The Embassy has supported the objective for over a decade. </w:t>
      </w:r>
      <w:r w:rsidR="0079727D">
        <w:rPr>
          <w:i/>
        </w:rPr>
        <w:t xml:space="preserve">While the rights of women and girls </w:t>
      </w:r>
      <w:proofErr w:type="gramStart"/>
      <w:r w:rsidR="0079727D">
        <w:rPr>
          <w:i/>
        </w:rPr>
        <w:t>are taken</w:t>
      </w:r>
      <w:proofErr w:type="gramEnd"/>
      <w:r w:rsidR="0079727D">
        <w:rPr>
          <w:i/>
        </w:rPr>
        <w:t xml:space="preserve"> increasingly into consideration in the society and</w:t>
      </w:r>
      <w:r w:rsidR="004F5813">
        <w:rPr>
          <w:i/>
        </w:rPr>
        <w:t xml:space="preserve"> in</w:t>
      </w:r>
      <w:r w:rsidR="0079727D">
        <w:rPr>
          <w:i/>
        </w:rPr>
        <w:t xml:space="preserve"> policies</w:t>
      </w:r>
      <w:r w:rsidR="00DA07FC">
        <w:rPr>
          <w:i/>
        </w:rPr>
        <w:t>,</w:t>
      </w:r>
      <w:r w:rsidR="004F5813">
        <w:rPr>
          <w:i/>
        </w:rPr>
        <w:t xml:space="preserve"> and their participation in decision-making has increased,</w:t>
      </w:r>
      <w:r w:rsidR="0079727D">
        <w:rPr>
          <w:i/>
        </w:rPr>
        <w:t xml:space="preserve"> they continue to face discrimination and gender-based violence. </w:t>
      </w:r>
      <w:r w:rsidR="004F5813">
        <w:rPr>
          <w:i/>
        </w:rPr>
        <w:t>E</w:t>
      </w:r>
      <w:r w:rsidR="0079727D">
        <w:rPr>
          <w:i/>
        </w:rPr>
        <w:t>conomic participation of women is lower than</w:t>
      </w:r>
      <w:r w:rsidR="004F5813">
        <w:rPr>
          <w:i/>
        </w:rPr>
        <w:t xml:space="preserve"> that of</w:t>
      </w:r>
      <w:r w:rsidR="0079727D">
        <w:rPr>
          <w:i/>
        </w:rPr>
        <w:t xml:space="preserve"> men and </w:t>
      </w:r>
      <w:r w:rsidR="004F5813">
        <w:rPr>
          <w:i/>
        </w:rPr>
        <w:t>traditional</w:t>
      </w:r>
      <w:r w:rsidR="0079727D">
        <w:rPr>
          <w:i/>
        </w:rPr>
        <w:t xml:space="preserve"> attitudes regarding the role of women and girls affect </w:t>
      </w:r>
      <w:r w:rsidR="004F5813">
        <w:rPr>
          <w:i/>
        </w:rPr>
        <w:t>their choices of education and career. Women and girls from minorities and with disabilities are particularly vulnerable.</w:t>
      </w:r>
    </w:p>
    <w:p w14:paraId="4D2E88B3" w14:textId="77777777" w:rsidR="00015B1D" w:rsidRDefault="00554980">
      <w:pPr>
        <w:rPr>
          <w:i/>
        </w:rPr>
      </w:pPr>
      <w:r>
        <w:rPr>
          <w:i/>
        </w:rPr>
        <w:t>The Embassy expects to support between 1-2 projects per year in this priority area. T</w:t>
      </w:r>
      <w:r w:rsidRPr="006F4194">
        <w:rPr>
          <w:i/>
        </w:rPr>
        <w:t>he Embassy invites project proposals that aim to</w:t>
      </w:r>
      <w:r>
        <w:rPr>
          <w:i/>
        </w:rPr>
        <w:t xml:space="preserve"> </w:t>
      </w:r>
      <w:r w:rsidRPr="006F4194">
        <w:rPr>
          <w:i/>
        </w:rPr>
        <w:t xml:space="preserve">support </w:t>
      </w:r>
      <w:r>
        <w:rPr>
          <w:i/>
        </w:rPr>
        <w:t>women and girls in vulnerable positions and encourages applicants working outside of the capital area to apply.</w:t>
      </w:r>
    </w:p>
    <w:p w14:paraId="0D3F2AF9" w14:textId="77777777" w:rsidR="00DD07B9" w:rsidRDefault="00554980">
      <w:pPr>
        <w:rPr>
          <w:i/>
        </w:rPr>
      </w:pPr>
      <w:r>
        <w:rPr>
          <w:i/>
        </w:rPr>
        <w:t xml:space="preserve"> </w:t>
      </w:r>
      <w:r w:rsidR="00DD07B9">
        <w:rPr>
          <w:i/>
        </w:rPr>
        <w:br w:type="page"/>
      </w:r>
    </w:p>
    <w:p w14:paraId="4B60542B" w14:textId="77777777" w:rsidR="00452C7D" w:rsidRPr="00E5728C" w:rsidRDefault="00B25FA1" w:rsidP="00452C7D">
      <w:pPr>
        <w:spacing w:line="276" w:lineRule="auto"/>
        <w:jc w:val="both"/>
        <w:rPr>
          <w:b/>
          <w:i/>
        </w:rPr>
      </w:pPr>
      <w:r>
        <w:rPr>
          <w:b/>
        </w:rPr>
        <w:t xml:space="preserve">Objective </w:t>
      </w:r>
      <w:proofErr w:type="gramStart"/>
      <w:r>
        <w:rPr>
          <w:b/>
        </w:rPr>
        <w:t>3</w:t>
      </w:r>
      <w:proofErr w:type="gramEnd"/>
    </w:p>
    <w:p w14:paraId="4989DAED" w14:textId="77777777" w:rsidR="00452C7D" w:rsidRDefault="00B25FA1" w:rsidP="00452C7D">
      <w:pPr>
        <w:shd w:val="clear" w:color="auto" w:fill="FFFFFF"/>
        <w:rPr>
          <w:b/>
        </w:rPr>
      </w:pPr>
      <w:r>
        <w:rPr>
          <w:b/>
        </w:rPr>
        <w:t xml:space="preserve">O3: </w:t>
      </w:r>
      <w:r w:rsidRPr="004D0472">
        <w:rPr>
          <w:b/>
        </w:rPr>
        <w:t xml:space="preserve">The role of youth in society </w:t>
      </w:r>
      <w:proofErr w:type="gramStart"/>
      <w:r w:rsidRPr="004D0472">
        <w:rPr>
          <w:b/>
        </w:rPr>
        <w:t xml:space="preserve">is </w:t>
      </w:r>
      <w:r>
        <w:rPr>
          <w:b/>
        </w:rPr>
        <w:t>strengthened</w:t>
      </w:r>
      <w:proofErr w:type="gramEnd"/>
      <w:r w:rsidRPr="004D0472">
        <w:rPr>
          <w:b/>
        </w:rPr>
        <w:t xml:space="preserve"> through </w:t>
      </w:r>
      <w:r>
        <w:rPr>
          <w:b/>
        </w:rPr>
        <w:t>increased and effective civic and economic participation</w:t>
      </w:r>
    </w:p>
    <w:p w14:paraId="48A07FC1" w14:textId="77777777" w:rsidR="002419B8" w:rsidRPr="00EF18D8" w:rsidRDefault="002419B8" w:rsidP="00452C7D">
      <w:pPr>
        <w:shd w:val="clear" w:color="auto" w:fill="FFFFFF"/>
        <w:rPr>
          <w:b/>
          <w:i/>
        </w:rPr>
      </w:pPr>
      <w:r w:rsidRPr="00EF18D8">
        <w:rPr>
          <w:b/>
          <w:i/>
        </w:rPr>
        <w:t>Description of the objective</w:t>
      </w:r>
    </w:p>
    <w:p w14:paraId="5051D7CB" w14:textId="77777777" w:rsidR="00B25FA1" w:rsidRPr="00B25FA1" w:rsidRDefault="00B25FA1" w:rsidP="00B25FA1">
      <w:pPr>
        <w:spacing w:line="276" w:lineRule="auto"/>
        <w:jc w:val="both"/>
        <w:rPr>
          <w:i/>
        </w:rPr>
      </w:pPr>
      <w:r>
        <w:rPr>
          <w:i/>
        </w:rPr>
        <w:t xml:space="preserve">The objective is to support </w:t>
      </w:r>
      <w:r w:rsidR="009A7DFC">
        <w:rPr>
          <w:i/>
        </w:rPr>
        <w:t>strengthening the role of youth through increased civic and economic participation</w:t>
      </w:r>
      <w:r>
        <w:rPr>
          <w:i/>
        </w:rPr>
        <w:t xml:space="preserve">. To this end, the following focus areas </w:t>
      </w:r>
      <w:proofErr w:type="gramStart"/>
      <w:r>
        <w:rPr>
          <w:i/>
        </w:rPr>
        <w:t>are supported</w:t>
      </w:r>
      <w:proofErr w:type="gramEnd"/>
      <w:r>
        <w:rPr>
          <w:i/>
        </w:rPr>
        <w:t>:</w:t>
      </w:r>
    </w:p>
    <w:p w14:paraId="6ED067ED" w14:textId="77777777" w:rsidR="002419B8" w:rsidRDefault="002419B8" w:rsidP="002419B8">
      <w:pPr>
        <w:pStyle w:val="ListParagraph"/>
        <w:numPr>
          <w:ilvl w:val="0"/>
          <w:numId w:val="3"/>
        </w:numPr>
        <w:shd w:val="clear" w:color="auto" w:fill="FFFFFF"/>
        <w:rPr>
          <w:i/>
        </w:rPr>
      </w:pPr>
      <w:r w:rsidRPr="00FE54BA">
        <w:rPr>
          <w:i/>
        </w:rPr>
        <w:t>enhancing civic participation of youth and promoting youth participation for community development</w:t>
      </w:r>
    </w:p>
    <w:p w14:paraId="4C2FDF7D" w14:textId="77777777" w:rsidR="002419B8" w:rsidRDefault="002419B8" w:rsidP="002419B8">
      <w:pPr>
        <w:pStyle w:val="ListParagraph"/>
        <w:numPr>
          <w:ilvl w:val="0"/>
          <w:numId w:val="3"/>
        </w:numPr>
        <w:shd w:val="clear" w:color="auto" w:fill="FFFFFF"/>
        <w:rPr>
          <w:i/>
        </w:rPr>
      </w:pPr>
      <w:r w:rsidRPr="00100509">
        <w:rPr>
          <w:i/>
        </w:rPr>
        <w:t xml:space="preserve">promoting </w:t>
      </w:r>
      <w:r>
        <w:rPr>
          <w:i/>
        </w:rPr>
        <w:t xml:space="preserve">youth’s </w:t>
      </w:r>
      <w:r w:rsidRPr="00100509">
        <w:rPr>
          <w:i/>
        </w:rPr>
        <w:t>full and effective participation and opportunities</w:t>
      </w:r>
      <w:r>
        <w:rPr>
          <w:i/>
        </w:rPr>
        <w:t xml:space="preserve"> </w:t>
      </w:r>
      <w:r w:rsidRPr="00100509">
        <w:rPr>
          <w:i/>
        </w:rPr>
        <w:t>in economic life</w:t>
      </w:r>
    </w:p>
    <w:p w14:paraId="639DA9EE" w14:textId="77777777" w:rsidR="002419B8" w:rsidRPr="00100509" w:rsidRDefault="002419B8" w:rsidP="002419B8">
      <w:pPr>
        <w:pStyle w:val="ListParagraph"/>
        <w:numPr>
          <w:ilvl w:val="0"/>
          <w:numId w:val="3"/>
        </w:numPr>
        <w:shd w:val="clear" w:color="auto" w:fill="FFFFFF"/>
        <w:rPr>
          <w:i/>
        </w:rPr>
      </w:pPr>
      <w:r w:rsidRPr="00D40407">
        <w:rPr>
          <w:i/>
        </w:rPr>
        <w:t xml:space="preserve">enhancing capacity building of non-governmental </w:t>
      </w:r>
      <w:proofErr w:type="spellStart"/>
      <w:r w:rsidRPr="00D40407">
        <w:rPr>
          <w:i/>
        </w:rPr>
        <w:t>organisations</w:t>
      </w:r>
      <w:proofErr w:type="spellEnd"/>
      <w:r w:rsidRPr="00D40407">
        <w:rPr>
          <w:i/>
        </w:rPr>
        <w:t xml:space="preserve"> promoting youth participation</w:t>
      </w:r>
    </w:p>
    <w:p w14:paraId="328D0267" w14:textId="77777777" w:rsidR="009606B1" w:rsidRPr="00E5728C" w:rsidRDefault="009606B1" w:rsidP="00452C7D">
      <w:pPr>
        <w:shd w:val="clear" w:color="auto" w:fill="FFFFFF"/>
        <w:rPr>
          <w:i/>
        </w:rPr>
      </w:pPr>
      <w:r>
        <w:rPr>
          <w:i/>
        </w:rPr>
        <w:t>Strengthening civic participation of youth and</w:t>
      </w:r>
      <w:r w:rsidR="002F3523">
        <w:rPr>
          <w:i/>
        </w:rPr>
        <w:t xml:space="preserve"> </w:t>
      </w:r>
      <w:r>
        <w:rPr>
          <w:i/>
        </w:rPr>
        <w:t>participation for community development contributes to an inclusive environment in which youth</w:t>
      </w:r>
      <w:r w:rsidR="00E22795">
        <w:rPr>
          <w:i/>
        </w:rPr>
        <w:t xml:space="preserve"> from various backgrounds including </w:t>
      </w:r>
      <w:r w:rsidR="00F22A9F">
        <w:rPr>
          <w:i/>
        </w:rPr>
        <w:t xml:space="preserve">from </w:t>
      </w:r>
      <w:r w:rsidR="00E22795">
        <w:rPr>
          <w:i/>
        </w:rPr>
        <w:t>vulnerable groups</w:t>
      </w:r>
      <w:r w:rsidR="00F22A9F">
        <w:rPr>
          <w:i/>
        </w:rPr>
        <w:t xml:space="preserve"> </w:t>
      </w:r>
      <w:r>
        <w:rPr>
          <w:i/>
        </w:rPr>
        <w:t xml:space="preserve">are empowered to influence relevant </w:t>
      </w:r>
      <w:r w:rsidR="00CE4E32">
        <w:rPr>
          <w:i/>
        </w:rPr>
        <w:t xml:space="preserve">issues, </w:t>
      </w:r>
      <w:r>
        <w:rPr>
          <w:i/>
        </w:rPr>
        <w:t>policies and processes</w:t>
      </w:r>
      <w:r w:rsidR="00E22795">
        <w:rPr>
          <w:i/>
        </w:rPr>
        <w:t xml:space="preserve"> together</w:t>
      </w:r>
      <w:r w:rsidR="00A22F42">
        <w:rPr>
          <w:i/>
        </w:rPr>
        <w:t>,</w:t>
      </w:r>
      <w:r>
        <w:rPr>
          <w:i/>
        </w:rPr>
        <w:t xml:space="preserve"> and actively collaborate on local, regional and national level</w:t>
      </w:r>
      <w:r w:rsidR="00D32196">
        <w:rPr>
          <w:i/>
        </w:rPr>
        <w:t xml:space="preserve"> for common causes</w:t>
      </w:r>
      <w:r>
        <w:rPr>
          <w:i/>
        </w:rPr>
        <w:t xml:space="preserve">. </w:t>
      </w:r>
      <w:r w:rsidR="002218C2">
        <w:rPr>
          <w:i/>
        </w:rPr>
        <w:t xml:space="preserve">Supporting participation of youth in the economic life contributes to an environment in which economically empowered young persons utilize their talent to improve their economic situation while contributing to the economy of the Republic of Moldova. </w:t>
      </w:r>
    </w:p>
    <w:p w14:paraId="66A1F551" w14:textId="77777777" w:rsidR="00452C7D" w:rsidRPr="00EF18D8" w:rsidRDefault="00452C7D" w:rsidP="00452C7D">
      <w:pPr>
        <w:spacing w:line="276" w:lineRule="auto"/>
        <w:jc w:val="both"/>
        <w:rPr>
          <w:b/>
          <w:bCs/>
        </w:rPr>
      </w:pPr>
      <w:r w:rsidRPr="00EF18D8">
        <w:rPr>
          <w:b/>
          <w:bCs/>
        </w:rPr>
        <w:t>Justification for the objective</w:t>
      </w:r>
    </w:p>
    <w:p w14:paraId="6E4D24B3" w14:textId="77777777" w:rsidR="002218C2" w:rsidRDefault="0034298D">
      <w:pPr>
        <w:rPr>
          <w:i/>
        </w:rPr>
      </w:pPr>
      <w:r>
        <w:rPr>
          <w:i/>
        </w:rPr>
        <w:t>The situation of youth in Moldova is difficult</w:t>
      </w:r>
      <w:r w:rsidR="00107994">
        <w:rPr>
          <w:i/>
        </w:rPr>
        <w:t>.</w:t>
      </w:r>
      <w:r>
        <w:rPr>
          <w:i/>
        </w:rPr>
        <w:t xml:space="preserve"> </w:t>
      </w:r>
      <w:r w:rsidR="00107994">
        <w:rPr>
          <w:i/>
        </w:rPr>
        <w:t>Essential</w:t>
      </w:r>
      <w:r>
        <w:rPr>
          <w:i/>
        </w:rPr>
        <w:t xml:space="preserve"> challenges </w:t>
      </w:r>
      <w:r w:rsidR="00107994">
        <w:rPr>
          <w:i/>
        </w:rPr>
        <w:t>have to do with</w:t>
      </w:r>
      <w:r>
        <w:rPr>
          <w:i/>
        </w:rPr>
        <w:t xml:space="preserve"> education, employment, health, and participation. </w:t>
      </w:r>
      <w:r w:rsidR="00107994">
        <w:rPr>
          <w:i/>
        </w:rPr>
        <w:t>The lack of opportunities for</w:t>
      </w:r>
      <w:r w:rsidR="006F4194">
        <w:rPr>
          <w:i/>
        </w:rPr>
        <w:t xml:space="preserve"> </w:t>
      </w:r>
      <w:r w:rsidR="00107994">
        <w:rPr>
          <w:i/>
        </w:rPr>
        <w:t>youth in the Republic of Moldova maintains high migration numbers, and low civic participation of youth means that their</w:t>
      </w:r>
      <w:r w:rsidR="00690846">
        <w:rPr>
          <w:i/>
        </w:rPr>
        <w:t xml:space="preserve"> views are not affecting decision-making to the fullest potential.</w:t>
      </w:r>
      <w:r w:rsidR="00107994">
        <w:rPr>
          <w:i/>
        </w:rPr>
        <w:t xml:space="preserve"> </w:t>
      </w:r>
      <w:r w:rsidR="00A1154F">
        <w:rPr>
          <w:i/>
        </w:rPr>
        <w:t>Opportunities are considerably fewer</w:t>
      </w:r>
      <w:r w:rsidR="006F4194">
        <w:rPr>
          <w:i/>
        </w:rPr>
        <w:t xml:space="preserve"> for the youth</w:t>
      </w:r>
      <w:r w:rsidR="00A1154F">
        <w:rPr>
          <w:i/>
        </w:rPr>
        <w:t xml:space="preserve"> in the countryside and youth from minorities</w:t>
      </w:r>
      <w:r w:rsidR="00774A13">
        <w:rPr>
          <w:i/>
        </w:rPr>
        <w:t xml:space="preserve"> are particularly vulnerable</w:t>
      </w:r>
      <w:r w:rsidR="00A1154F">
        <w:rPr>
          <w:i/>
        </w:rPr>
        <w:t>.</w:t>
      </w:r>
      <w:r w:rsidR="001F14D2">
        <w:rPr>
          <w:i/>
        </w:rPr>
        <w:t xml:space="preserve"> Economically most vulnerable are youth not in education, employment or training (NEET).</w:t>
      </w:r>
      <w:r w:rsidR="00C03E19">
        <w:rPr>
          <w:i/>
        </w:rPr>
        <w:t xml:space="preserve"> </w:t>
      </w:r>
    </w:p>
    <w:p w14:paraId="2085E608" w14:textId="77777777" w:rsidR="00971F75" w:rsidRDefault="005B25D7" w:rsidP="00C03E19">
      <w:pPr>
        <w:rPr>
          <w:i/>
        </w:rPr>
      </w:pPr>
      <w:r>
        <w:rPr>
          <w:i/>
        </w:rPr>
        <w:t xml:space="preserve">The Embassy expects to support between 1-2 projects per year in this priority area. </w:t>
      </w:r>
      <w:r w:rsidR="006F4194">
        <w:rPr>
          <w:i/>
        </w:rPr>
        <w:t>T</w:t>
      </w:r>
      <w:r w:rsidR="006F4194" w:rsidRPr="006F4194">
        <w:rPr>
          <w:i/>
        </w:rPr>
        <w:t>he Embassy invites project proposals that aim to</w:t>
      </w:r>
      <w:r w:rsidR="002F1F9A">
        <w:rPr>
          <w:i/>
        </w:rPr>
        <w:t xml:space="preserve"> include and</w:t>
      </w:r>
      <w:r w:rsidR="006F4194" w:rsidRPr="006F4194">
        <w:rPr>
          <w:i/>
        </w:rPr>
        <w:t xml:space="preserve"> support </w:t>
      </w:r>
      <w:r w:rsidR="006F4194">
        <w:rPr>
          <w:i/>
        </w:rPr>
        <w:t>youth</w:t>
      </w:r>
      <w:r w:rsidR="003E5828">
        <w:rPr>
          <w:i/>
        </w:rPr>
        <w:t xml:space="preserve"> in vulnerable position</w:t>
      </w:r>
      <w:r w:rsidR="002F1F9A">
        <w:rPr>
          <w:i/>
        </w:rPr>
        <w:t>s</w:t>
      </w:r>
      <w:r w:rsidR="003E5828">
        <w:rPr>
          <w:i/>
        </w:rPr>
        <w:t xml:space="preserve"> and encourages applicants working outside of the capital area to apply. </w:t>
      </w:r>
    </w:p>
    <w:p w14:paraId="4BD69640" w14:textId="77777777" w:rsidR="002F1F9A" w:rsidRPr="00C03E19" w:rsidRDefault="002F1F9A" w:rsidP="00C03E19">
      <w:pPr>
        <w:rPr>
          <w:i/>
        </w:rPr>
      </w:pPr>
    </w:p>
    <w:sectPr w:rsidR="002F1F9A" w:rsidRPr="00C03E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5343E"/>
    <w:multiLevelType w:val="hybridMultilevel"/>
    <w:tmpl w:val="D95A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14176"/>
    <w:multiLevelType w:val="multilevel"/>
    <w:tmpl w:val="2F9E44B4"/>
    <w:lvl w:ilvl="0">
      <w:start w:val="1"/>
      <w:numFmt w:val="bullet"/>
      <w:lvlText w:val=""/>
      <w:lvlJc w:val="left"/>
      <w:pPr>
        <w:tabs>
          <w:tab w:val="num" w:pos="960"/>
        </w:tabs>
        <w:ind w:left="960" w:hanging="360"/>
      </w:pPr>
      <w:rPr>
        <w:rFonts w:ascii="Wingdings" w:hAnsi="Wingdings" w:hint="default"/>
        <w:sz w:val="20"/>
      </w:rPr>
    </w:lvl>
    <w:lvl w:ilvl="1">
      <w:start w:val="1"/>
      <w:numFmt w:val="bullet"/>
      <w:lvlText w:val=""/>
      <w:lvlJc w:val="left"/>
      <w:pPr>
        <w:tabs>
          <w:tab w:val="num" w:pos="1680"/>
        </w:tabs>
        <w:ind w:left="1680" w:hanging="360"/>
      </w:pPr>
      <w:rPr>
        <w:rFonts w:ascii="Wingdings" w:hAnsi="Wingdings"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36F91E51"/>
    <w:multiLevelType w:val="hybridMultilevel"/>
    <w:tmpl w:val="73C48466"/>
    <w:lvl w:ilvl="0" w:tplc="F356AD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973B1"/>
    <w:multiLevelType w:val="hybridMultilevel"/>
    <w:tmpl w:val="4572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47591"/>
    <w:multiLevelType w:val="hybridMultilevel"/>
    <w:tmpl w:val="AED6B6FC"/>
    <w:lvl w:ilvl="0" w:tplc="F356AD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7D"/>
    <w:rsid w:val="00005D31"/>
    <w:rsid w:val="00015B1D"/>
    <w:rsid w:val="00016FDF"/>
    <w:rsid w:val="00041563"/>
    <w:rsid w:val="000506C7"/>
    <w:rsid w:val="00075C1A"/>
    <w:rsid w:val="000B5951"/>
    <w:rsid w:val="000B766C"/>
    <w:rsid w:val="000E471D"/>
    <w:rsid w:val="000E748F"/>
    <w:rsid w:val="000F2A15"/>
    <w:rsid w:val="00100509"/>
    <w:rsid w:val="00100DE3"/>
    <w:rsid w:val="00107994"/>
    <w:rsid w:val="001249B5"/>
    <w:rsid w:val="001434BD"/>
    <w:rsid w:val="00147F2E"/>
    <w:rsid w:val="001536C4"/>
    <w:rsid w:val="00157C0C"/>
    <w:rsid w:val="001718C6"/>
    <w:rsid w:val="00176E5F"/>
    <w:rsid w:val="001A31CA"/>
    <w:rsid w:val="001C4AE9"/>
    <w:rsid w:val="001C78E3"/>
    <w:rsid w:val="001D465A"/>
    <w:rsid w:val="001F14D2"/>
    <w:rsid w:val="00213032"/>
    <w:rsid w:val="002218C2"/>
    <w:rsid w:val="00227428"/>
    <w:rsid w:val="002419B8"/>
    <w:rsid w:val="00264C30"/>
    <w:rsid w:val="002733B1"/>
    <w:rsid w:val="002A0164"/>
    <w:rsid w:val="002A6D20"/>
    <w:rsid w:val="002F1F9A"/>
    <w:rsid w:val="002F3523"/>
    <w:rsid w:val="0032026F"/>
    <w:rsid w:val="0034298D"/>
    <w:rsid w:val="003A0BCC"/>
    <w:rsid w:val="003B28B3"/>
    <w:rsid w:val="003C2BCF"/>
    <w:rsid w:val="003D707D"/>
    <w:rsid w:val="003E5828"/>
    <w:rsid w:val="00404A74"/>
    <w:rsid w:val="004448CA"/>
    <w:rsid w:val="00445CBD"/>
    <w:rsid w:val="00452C7D"/>
    <w:rsid w:val="00474C31"/>
    <w:rsid w:val="00495756"/>
    <w:rsid w:val="004B78B0"/>
    <w:rsid w:val="004D0472"/>
    <w:rsid w:val="004D69FD"/>
    <w:rsid w:val="004E2892"/>
    <w:rsid w:val="004F5813"/>
    <w:rsid w:val="00505EEA"/>
    <w:rsid w:val="00554980"/>
    <w:rsid w:val="005627AC"/>
    <w:rsid w:val="005672CA"/>
    <w:rsid w:val="00576482"/>
    <w:rsid w:val="00576563"/>
    <w:rsid w:val="00593055"/>
    <w:rsid w:val="005B25D7"/>
    <w:rsid w:val="005D10DE"/>
    <w:rsid w:val="005D4149"/>
    <w:rsid w:val="005D7B19"/>
    <w:rsid w:val="005F10DB"/>
    <w:rsid w:val="00600F96"/>
    <w:rsid w:val="00621D49"/>
    <w:rsid w:val="006312BA"/>
    <w:rsid w:val="00632FA6"/>
    <w:rsid w:val="006448DA"/>
    <w:rsid w:val="00661D94"/>
    <w:rsid w:val="00667509"/>
    <w:rsid w:val="00687E88"/>
    <w:rsid w:val="00690846"/>
    <w:rsid w:val="006A5AF2"/>
    <w:rsid w:val="006C0DF8"/>
    <w:rsid w:val="006D0547"/>
    <w:rsid w:val="006D4453"/>
    <w:rsid w:val="006F4194"/>
    <w:rsid w:val="00705400"/>
    <w:rsid w:val="0071254C"/>
    <w:rsid w:val="007415BA"/>
    <w:rsid w:val="00742DE9"/>
    <w:rsid w:val="00763E12"/>
    <w:rsid w:val="00774A13"/>
    <w:rsid w:val="0079727D"/>
    <w:rsid w:val="007B775B"/>
    <w:rsid w:val="007D48C3"/>
    <w:rsid w:val="007E3AEB"/>
    <w:rsid w:val="007E6C45"/>
    <w:rsid w:val="007F3E79"/>
    <w:rsid w:val="008031A9"/>
    <w:rsid w:val="00816335"/>
    <w:rsid w:val="00831FEF"/>
    <w:rsid w:val="00860365"/>
    <w:rsid w:val="008630C6"/>
    <w:rsid w:val="008965E8"/>
    <w:rsid w:val="008B5F4F"/>
    <w:rsid w:val="008B7F87"/>
    <w:rsid w:val="008C3489"/>
    <w:rsid w:val="008E22FD"/>
    <w:rsid w:val="0091248D"/>
    <w:rsid w:val="00916972"/>
    <w:rsid w:val="0092070B"/>
    <w:rsid w:val="009504CC"/>
    <w:rsid w:val="009570E4"/>
    <w:rsid w:val="009606B1"/>
    <w:rsid w:val="00971F75"/>
    <w:rsid w:val="009A2328"/>
    <w:rsid w:val="009A3530"/>
    <w:rsid w:val="009A7DFC"/>
    <w:rsid w:val="009D494F"/>
    <w:rsid w:val="009F21DD"/>
    <w:rsid w:val="00A1154F"/>
    <w:rsid w:val="00A22F42"/>
    <w:rsid w:val="00A30844"/>
    <w:rsid w:val="00A85ADC"/>
    <w:rsid w:val="00AA3C9A"/>
    <w:rsid w:val="00AA7FC1"/>
    <w:rsid w:val="00AB7E58"/>
    <w:rsid w:val="00AD3A4A"/>
    <w:rsid w:val="00B14BE4"/>
    <w:rsid w:val="00B25FA1"/>
    <w:rsid w:val="00B47D58"/>
    <w:rsid w:val="00B90A84"/>
    <w:rsid w:val="00BA3124"/>
    <w:rsid w:val="00BA777D"/>
    <w:rsid w:val="00BC1EBB"/>
    <w:rsid w:val="00BC4B31"/>
    <w:rsid w:val="00BE5B61"/>
    <w:rsid w:val="00BF1321"/>
    <w:rsid w:val="00BF531A"/>
    <w:rsid w:val="00C03E19"/>
    <w:rsid w:val="00C079CA"/>
    <w:rsid w:val="00C21731"/>
    <w:rsid w:val="00C37E46"/>
    <w:rsid w:val="00C61919"/>
    <w:rsid w:val="00C65591"/>
    <w:rsid w:val="00C7399C"/>
    <w:rsid w:val="00C836EC"/>
    <w:rsid w:val="00C866F1"/>
    <w:rsid w:val="00CA3BEE"/>
    <w:rsid w:val="00CC02C2"/>
    <w:rsid w:val="00CC057E"/>
    <w:rsid w:val="00CC69D4"/>
    <w:rsid w:val="00CD323C"/>
    <w:rsid w:val="00CE4C47"/>
    <w:rsid w:val="00CE4E32"/>
    <w:rsid w:val="00CF1DA7"/>
    <w:rsid w:val="00D03249"/>
    <w:rsid w:val="00D16323"/>
    <w:rsid w:val="00D32196"/>
    <w:rsid w:val="00D40407"/>
    <w:rsid w:val="00D40E70"/>
    <w:rsid w:val="00D41C4D"/>
    <w:rsid w:val="00D83005"/>
    <w:rsid w:val="00D87ED8"/>
    <w:rsid w:val="00D946B3"/>
    <w:rsid w:val="00D96B53"/>
    <w:rsid w:val="00DA07FC"/>
    <w:rsid w:val="00DD07B9"/>
    <w:rsid w:val="00DE4F42"/>
    <w:rsid w:val="00DF37BD"/>
    <w:rsid w:val="00E22795"/>
    <w:rsid w:val="00E336BF"/>
    <w:rsid w:val="00E437F5"/>
    <w:rsid w:val="00E6179A"/>
    <w:rsid w:val="00EA3086"/>
    <w:rsid w:val="00F14689"/>
    <w:rsid w:val="00F21A70"/>
    <w:rsid w:val="00F229F7"/>
    <w:rsid w:val="00F22A9F"/>
    <w:rsid w:val="00F37BE4"/>
    <w:rsid w:val="00F40CAC"/>
    <w:rsid w:val="00F70517"/>
    <w:rsid w:val="00F76103"/>
    <w:rsid w:val="00FA413C"/>
    <w:rsid w:val="00FD43FB"/>
    <w:rsid w:val="00FE1058"/>
    <w:rsid w:val="00FE54BA"/>
    <w:rsid w:val="00FE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D929"/>
  <w15:chartTrackingRefBased/>
  <w15:docId w15:val="{935BB384-B338-4FDF-960A-3531FE4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MUnitTaxHTField0_B xmlns="2c463515-d629-43c4-8733-25dc76ed8392">
      <Terms xmlns="http://schemas.microsoft.com/office/infopath/2007/PartnerControls"/>
    </UMUnitTaxHTField0_B>
    <UMEmbassyTaxHTField0_B xmlns="2c463515-d629-43c4-8733-25dc76ed8392">
      <Terms xmlns="http://schemas.microsoft.com/office/infopath/2007/PartnerControls">
        <TermInfo xmlns="http://schemas.microsoft.com/office/infopath/2007/PartnerControls">
          <TermName xmlns="http://schemas.microsoft.com/office/infopath/2007/PartnerControls">BUK</TermName>
          <TermId xmlns="http://schemas.microsoft.com/office/infopath/2007/PartnerControls">d2f91c8d-0c39-45b9-9361-f9dcc2251e1e</TermId>
        </TermInfo>
      </Terms>
    </UMEmbassyTaxHTField0_B>
    <TaxKeywordTaxHTField xmlns="2c463515-d629-43c4-8733-25dc76ed8392">
      <Terms xmlns="http://schemas.microsoft.com/office/infopath/2007/PartnerControls"/>
    </TaxKeywordTaxHTField>
    <TaxCatchAll xmlns="c138b538-c2fd-4cca-8c26-6e4e32e5a042">
      <Value>1</Value>
    </TaxCatchAll>
    <UMKiekuTaxHTField0_B xmlns="2c463515-d629-43c4-8733-25dc76ed8392">
      <Terms xmlns="http://schemas.microsoft.com/office/infopath/2007/PartnerControls"/>
    </UMKiekuTaxHTField0_B>
    <UMContentClassificationTaxHTField0_B xmlns="2c463515-d629-43c4-8733-25dc76ed8392">
      <Terms xmlns="http://schemas.microsoft.com/office/infopath/2007/PartnerControls"/>
    </UMContentClassificationTaxHTField0_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ic document" ma:contentTypeID="0x01010024DDD2BFFAA0CF42BE3D34C66A3B6A89000560E74C4C63804AA3793016AF494D88" ma:contentTypeVersion="11" ma:contentTypeDescription="" ma:contentTypeScope="" ma:versionID="12210d89b371a1c5bbedb069843e3eb2">
  <xsd:schema xmlns:xsd="http://www.w3.org/2001/XMLSchema" xmlns:xs="http://www.w3.org/2001/XMLSchema" xmlns:p="http://schemas.microsoft.com/office/2006/metadata/properties" xmlns:ns2="2c463515-d629-43c4-8733-25dc76ed8392" xmlns:ns3="c138b538-c2fd-4cca-8c26-6e4e32e5a042" targetNamespace="http://schemas.microsoft.com/office/2006/metadata/properties" ma:root="true" ma:fieldsID="bba0bff57b1f7679ec23d1b2987a61df" ns2:_="" ns3:_="">
    <xsd:import namespace="2c463515-d629-43c4-8733-25dc76ed8392"/>
    <xsd:import namespace="c138b538-c2fd-4cca-8c26-6e4e32e5a042"/>
    <xsd:element name="properties">
      <xsd:complexType>
        <xsd:sequence>
          <xsd:element name="documentManagement">
            <xsd:complexType>
              <xsd:all>
                <xsd:element ref="ns2:TaxKeywordTaxHTField" minOccurs="0"/>
                <xsd:element ref="ns2:UMContentClassificationTaxHTField0_B" minOccurs="0"/>
                <xsd:element ref="ns3:TaxCatchAll" minOccurs="0"/>
                <xsd:element ref="ns3:TaxCatchAllLabel" minOccurs="0"/>
                <xsd:element ref="ns2:UMUnitTaxHTField0_B" minOccurs="0"/>
                <xsd:element ref="ns2:UMEmbassyTaxHTField0_B" minOccurs="0"/>
                <xsd:element ref="ns2:UMKiekuTaxHTField0_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63515-d629-43c4-8733-25dc76ed839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9"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UMUnitTaxHTField0_B" ma:index="12" nillable="true" ma:taxonomy="true" ma:internalName="UMUnitTaxHTField0_B" ma:taxonomyFieldName="UMUnit" ma:displayName="Units and Organizations" ma:readOnly="false"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EmbassyTaxHTField0_B" ma:index="16" nillable="true" ma:taxonomy="true" ma:internalName="UMEmbassyTaxHTField0_B" ma:taxonomyFieldName="UMEmbassy" ma:displayName="Embassy" ma:readOnly="false" ma:default="-1;#BUK|d2f91c8d-0c39-45b9-9361-f9dcc2251e1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e2db1ff-976c-4529-a2f4-4bee0858a96a}" ma:internalName="TaxCatchAll" ma:readOnly="false" ma:showField="CatchAllData" ma:web="2c463515-d629-43c4-8733-25dc76ed839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e2db1ff-976c-4529-a2f4-4bee0858a96a}" ma:internalName="TaxCatchAllLabel" ma:readOnly="true" ma:showField="CatchAllDataLabel" ma:web="2c463515-d629-43c4-8733-25dc76ed8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F91DF-6472-42AB-AC4A-412BB3CBA387}">
  <ds:schemaRefs>
    <ds:schemaRef ds:uri="http://purl.org/dc/terms/"/>
    <ds:schemaRef ds:uri="http://purl.org/dc/dcmitype/"/>
    <ds:schemaRef ds:uri="c138b538-c2fd-4cca-8c26-6e4e32e5a04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c463515-d629-43c4-8733-25dc76ed8392"/>
    <ds:schemaRef ds:uri="http://www.w3.org/XML/1998/namespace"/>
    <ds:schemaRef ds:uri="http://purl.org/dc/elements/1.1/"/>
  </ds:schemaRefs>
</ds:datastoreItem>
</file>

<file path=customXml/itemProps2.xml><?xml version="1.0" encoding="utf-8"?>
<ds:datastoreItem xmlns:ds="http://schemas.openxmlformats.org/officeDocument/2006/customXml" ds:itemID="{D70276B6-EB19-4DA5-9771-34E047FE1906}">
  <ds:schemaRefs>
    <ds:schemaRef ds:uri="http://schemas.microsoft.com/sharepoint/v3/contenttype/forms"/>
  </ds:schemaRefs>
</ds:datastoreItem>
</file>

<file path=customXml/itemProps3.xml><?xml version="1.0" encoding="utf-8"?>
<ds:datastoreItem xmlns:ds="http://schemas.openxmlformats.org/officeDocument/2006/customXml" ds:itemID="{EB0DBBF8-B85E-4F40-BB09-AB7479B88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63515-d629-43c4-8733-25dc76ed8392"/>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Virkkunen Jaakko</dc:creator>
  <cp:keywords/>
  <dc:description/>
  <cp:lastModifiedBy>Leminen Sanna</cp:lastModifiedBy>
  <cp:revision>2</cp:revision>
  <dcterms:created xsi:type="dcterms:W3CDTF">2024-06-13T06:15:00Z</dcterms:created>
  <dcterms:modified xsi:type="dcterms:W3CDTF">2024-06-13T06:15:00Z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0x01010024DDD2BFFAA0CF42BE3D34C66A3B6A89000560E74C4C63804AA3793016AF494D88</vt:lpwstr>
  </property>
  <property fmtid="{D5CDD505-2E9C-101B-9397-08002B2CF9AE}" pid="3" name="UMUnit">
    <vt:lpwstr/>
  </property>
  <property fmtid="{D5CDD505-2E9C-101B-9397-08002B2CF9AE}" pid="4" name="TaxKeyword">
    <vt:lpwstr/>
  </property>
  <property fmtid="{D5CDD505-2E9C-101B-9397-08002B2CF9AE}" pid="5" name="UMContentClassification">
    <vt:lpwstr/>
  </property>
  <property fmtid="{D5CDD505-2E9C-101B-9397-08002B2CF9AE}" pid="6" name="UMEmbassy">
    <vt:lpwstr>1;#BUK|d2f91c8d-0c39-45b9-9361-f9dcc2251e1e</vt:lpwstr>
  </property>
  <property fmtid="{D5CDD505-2E9C-101B-9397-08002B2CF9AE}" pid="7" name="UMKieku">
    <vt:lpwstr/>
  </property>
</Properties>
</file>