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C627AC" w14:paraId="32CD7094" w14:textId="77777777">
        <w:trPr>
          <w:cantSplit/>
          <w:trHeight w:hRule="exact" w:val="851"/>
        </w:trPr>
        <w:tc>
          <w:tcPr>
            <w:tcW w:w="1276" w:type="dxa"/>
            <w:tcBorders>
              <w:bottom w:val="single" w:sz="4" w:space="0" w:color="auto"/>
            </w:tcBorders>
            <w:vAlign w:val="bottom"/>
          </w:tcPr>
          <w:p w14:paraId="3BFDE324" w14:textId="77777777" w:rsidR="006A4374" w:rsidRDefault="006A4374">
            <w:pPr>
              <w:spacing w:after="80"/>
            </w:pPr>
          </w:p>
        </w:tc>
        <w:tc>
          <w:tcPr>
            <w:tcW w:w="2268" w:type="dxa"/>
            <w:tcBorders>
              <w:bottom w:val="single" w:sz="4" w:space="0" w:color="auto"/>
            </w:tcBorders>
            <w:vAlign w:val="bottom"/>
          </w:tcPr>
          <w:p w14:paraId="15FFA1EA" w14:textId="72B031C4" w:rsidR="006A4374" w:rsidRDefault="006A4374">
            <w:pPr>
              <w:spacing w:after="80" w:line="300" w:lineRule="exact"/>
              <w:rPr>
                <w:b/>
                <w:sz w:val="24"/>
                <w:szCs w:val="24"/>
              </w:rPr>
            </w:pPr>
          </w:p>
        </w:tc>
        <w:tc>
          <w:tcPr>
            <w:tcW w:w="6095" w:type="dxa"/>
            <w:gridSpan w:val="2"/>
            <w:tcBorders>
              <w:bottom w:val="single" w:sz="4" w:space="0" w:color="auto"/>
            </w:tcBorders>
            <w:vAlign w:val="bottom"/>
          </w:tcPr>
          <w:p w14:paraId="0AF34C94" w14:textId="0A736406" w:rsidR="006A4374" w:rsidRDefault="00C11FC3" w:rsidP="00A3465F">
            <w:pPr>
              <w:suppressAutoHyphens w:val="0"/>
              <w:spacing w:after="20"/>
              <w:jc w:val="right"/>
            </w:pPr>
            <w:r>
              <w:rPr>
                <w:sz w:val="40"/>
              </w:rPr>
              <w:t>E</w:t>
            </w:r>
            <w:r>
              <w:t>/C.12/FIN/CO/7</w:t>
            </w:r>
          </w:p>
        </w:tc>
      </w:tr>
      <w:tr w:rsidR="00597FDD" w14:paraId="28738E7A" w14:textId="77777777">
        <w:trPr>
          <w:cantSplit/>
          <w:trHeight w:hRule="exact" w:val="2835"/>
        </w:trPr>
        <w:tc>
          <w:tcPr>
            <w:tcW w:w="1276" w:type="dxa"/>
            <w:tcBorders>
              <w:top w:val="single" w:sz="4" w:space="0" w:color="auto"/>
              <w:bottom w:val="single" w:sz="12" w:space="0" w:color="auto"/>
            </w:tcBorders>
          </w:tcPr>
          <w:p w14:paraId="0E64BB0E" w14:textId="35AD33F6" w:rsidR="00597FDD" w:rsidRDefault="00597FDD" w:rsidP="00597FDD">
            <w:pPr>
              <w:spacing w:before="120"/>
              <w:jc w:val="center"/>
            </w:pPr>
          </w:p>
        </w:tc>
        <w:tc>
          <w:tcPr>
            <w:tcW w:w="5528" w:type="dxa"/>
            <w:gridSpan w:val="2"/>
            <w:tcBorders>
              <w:top w:val="single" w:sz="4" w:space="0" w:color="auto"/>
              <w:bottom w:val="single" w:sz="12" w:space="0" w:color="auto"/>
            </w:tcBorders>
          </w:tcPr>
          <w:p w14:paraId="4968C108" w14:textId="6A2F032F" w:rsidR="00597FDD" w:rsidRDefault="00597FDD" w:rsidP="00597FDD">
            <w:pPr>
              <w:spacing w:before="120" w:line="380" w:lineRule="exact"/>
            </w:pPr>
            <w:r>
              <w:rPr>
                <w:b/>
                <w:sz w:val="40"/>
                <w:szCs w:val="40"/>
              </w:rPr>
              <w:t>Advance Unedited Version</w:t>
            </w:r>
          </w:p>
        </w:tc>
        <w:tc>
          <w:tcPr>
            <w:tcW w:w="2835" w:type="dxa"/>
            <w:tcBorders>
              <w:top w:val="single" w:sz="4" w:space="0" w:color="auto"/>
              <w:bottom w:val="single" w:sz="12" w:space="0" w:color="auto"/>
            </w:tcBorders>
          </w:tcPr>
          <w:p w14:paraId="52C22B8B" w14:textId="07D0FAB2" w:rsidR="00597FDD" w:rsidRPr="00C11FC3" w:rsidRDefault="00597FDD" w:rsidP="00597FDD">
            <w:pPr>
              <w:suppressAutoHyphens w:val="0"/>
              <w:spacing w:before="240" w:line="240" w:lineRule="exact"/>
            </w:pPr>
            <w:r w:rsidRPr="00C11FC3">
              <w:t xml:space="preserve">Distr.: </w:t>
            </w:r>
            <w:r>
              <w:t>General</w:t>
            </w:r>
          </w:p>
          <w:p w14:paraId="7E0D52F4" w14:textId="3643A33D" w:rsidR="00597FDD" w:rsidRPr="00C11FC3" w:rsidRDefault="00597FDD" w:rsidP="00597FDD">
            <w:pPr>
              <w:suppressAutoHyphens w:val="0"/>
            </w:pPr>
            <w:r>
              <w:t>5 March 2021</w:t>
            </w:r>
          </w:p>
          <w:p w14:paraId="60344437" w14:textId="77777777" w:rsidR="00597FDD" w:rsidRPr="00C11FC3" w:rsidRDefault="00597FDD" w:rsidP="00597FDD">
            <w:pPr>
              <w:suppressAutoHyphens w:val="0"/>
            </w:pPr>
          </w:p>
          <w:p w14:paraId="5029C945" w14:textId="77777777" w:rsidR="00597FDD" w:rsidRPr="00C11FC3" w:rsidRDefault="00597FDD" w:rsidP="00597FDD">
            <w:pPr>
              <w:suppressAutoHyphens w:val="0"/>
            </w:pPr>
            <w:r w:rsidRPr="00C11FC3">
              <w:t>Original: English</w:t>
            </w:r>
          </w:p>
          <w:p w14:paraId="6E1B4D5B" w14:textId="77777777" w:rsidR="00597FDD" w:rsidRPr="00C11FC3" w:rsidRDefault="00597FDD" w:rsidP="00597FDD">
            <w:pPr>
              <w:suppressAutoHyphens w:val="0"/>
            </w:pPr>
            <w:r w:rsidRPr="00C11FC3">
              <w:t>English, French and Spanish only</w:t>
            </w:r>
          </w:p>
        </w:tc>
      </w:tr>
    </w:tbl>
    <w:p w14:paraId="742D9FE1" w14:textId="77777777" w:rsidR="006A4374" w:rsidRDefault="00C11FC3">
      <w:pPr>
        <w:spacing w:before="120"/>
        <w:rPr>
          <w:b/>
          <w:sz w:val="24"/>
        </w:rPr>
      </w:pPr>
      <w:r>
        <w:rPr>
          <w:b/>
          <w:sz w:val="24"/>
        </w:rPr>
        <w:t>Committee on Economic, Social and Cultural Rights</w:t>
      </w:r>
    </w:p>
    <w:p w14:paraId="78FD416B" w14:textId="07ECC952" w:rsidR="006A4374" w:rsidRDefault="00C11FC3" w:rsidP="00C7603D">
      <w:pPr>
        <w:pStyle w:val="HChG"/>
      </w:pPr>
      <w:r>
        <w:tab/>
      </w:r>
      <w:r>
        <w:tab/>
        <w:t>Concluding observations on the seventh periodic report of Finland</w:t>
      </w:r>
      <w:r w:rsidR="00A3465F" w:rsidRPr="00C96719">
        <w:rPr>
          <w:rStyle w:val="FootnoteReference"/>
          <w:b w:val="0"/>
          <w:bCs/>
          <w:sz w:val="20"/>
        </w:rPr>
        <w:footnoteReference w:customMarkFollows="1" w:id="2"/>
        <w:t>*</w:t>
      </w:r>
      <w:bookmarkStart w:id="0" w:name="_GoBack"/>
      <w:bookmarkEnd w:id="0"/>
    </w:p>
    <w:p w14:paraId="3A933AFA" w14:textId="678DE3C9" w:rsidR="00AA50F9" w:rsidRPr="00367C28" w:rsidRDefault="00AA50F9" w:rsidP="00367C28">
      <w:pPr>
        <w:pStyle w:val="SingleTxtG"/>
        <w:numPr>
          <w:ilvl w:val="0"/>
          <w:numId w:val="28"/>
        </w:numPr>
        <w:tabs>
          <w:tab w:val="clear" w:pos="1701"/>
          <w:tab w:val="clear" w:pos="2268"/>
          <w:tab w:val="clear" w:pos="2835"/>
        </w:tabs>
        <w:ind w:left="1134" w:firstLine="0"/>
      </w:pPr>
      <w:r w:rsidRPr="00367C28">
        <w:t xml:space="preserve">The Committee considered </w:t>
      </w:r>
      <w:r w:rsidR="00660ED3" w:rsidRPr="00367C28">
        <w:t>the seventh periodic report of Finland (E/C.12/FIN/7) at its meetings (see E/C.12/202</w:t>
      </w:r>
      <w:r w:rsidR="007C4B41" w:rsidRPr="00367C28">
        <w:t>1</w:t>
      </w:r>
      <w:r w:rsidR="00660ED3" w:rsidRPr="00367C28">
        <w:t xml:space="preserve">/SR. </w:t>
      </w:r>
      <w:r w:rsidR="000A1DCA" w:rsidRPr="00367C28">
        <w:t>5, 7</w:t>
      </w:r>
      <w:r w:rsidR="00660ED3" w:rsidRPr="00367C28">
        <w:t xml:space="preserve"> and </w:t>
      </w:r>
      <w:r w:rsidR="000A1DCA" w:rsidRPr="00367C28">
        <w:t>8</w:t>
      </w:r>
      <w:r w:rsidR="00660ED3" w:rsidRPr="00367C28">
        <w:t>), held on 17, 18 and 19 February 2021</w:t>
      </w:r>
      <w:r w:rsidR="003075CB" w:rsidRPr="00367C28">
        <w:t xml:space="preserve"> virtually for the first time due to the COVID-19 pandemic</w:t>
      </w:r>
      <w:r w:rsidR="00660ED3" w:rsidRPr="00367C28">
        <w:t xml:space="preserve">, and adopted the present concluding </w:t>
      </w:r>
      <w:proofErr w:type="gramStart"/>
      <w:r w:rsidR="00660ED3" w:rsidRPr="00367C28">
        <w:t>observations</w:t>
      </w:r>
      <w:proofErr w:type="gramEnd"/>
      <w:r w:rsidR="00660ED3" w:rsidRPr="00367C28">
        <w:t xml:space="preserve"> on 5 March 2021. </w:t>
      </w:r>
    </w:p>
    <w:p w14:paraId="3D4A66A2" w14:textId="77777777" w:rsidR="00AA50F9" w:rsidRPr="00954236" w:rsidRDefault="00AA50F9" w:rsidP="00C7603D">
      <w:pPr>
        <w:pStyle w:val="H1G"/>
      </w:pPr>
      <w:r w:rsidRPr="00954236">
        <w:tab/>
        <w:t>A.</w:t>
      </w:r>
      <w:r w:rsidRPr="00954236">
        <w:tab/>
        <w:t>Introduction</w:t>
      </w:r>
    </w:p>
    <w:p w14:paraId="6A501836" w14:textId="613BBF52" w:rsidR="00AA50F9" w:rsidRPr="00954236" w:rsidRDefault="00AA50F9" w:rsidP="00EC7082">
      <w:pPr>
        <w:pStyle w:val="SingleTxtG"/>
        <w:numPr>
          <w:ilvl w:val="0"/>
          <w:numId w:val="28"/>
        </w:numPr>
        <w:tabs>
          <w:tab w:val="clear" w:pos="1701"/>
          <w:tab w:val="clear" w:pos="2268"/>
          <w:tab w:val="clear" w:pos="2835"/>
        </w:tabs>
        <w:ind w:left="1134" w:firstLine="0"/>
      </w:pPr>
      <w:r w:rsidRPr="00954236">
        <w:t>The Committee welcomes</w:t>
      </w:r>
      <w:r>
        <w:t xml:space="preserve"> </w:t>
      </w:r>
      <w:r w:rsidR="00660ED3">
        <w:t xml:space="preserve">the submission </w:t>
      </w:r>
      <w:r w:rsidR="007C4B41">
        <w:t xml:space="preserve">by the State party </w:t>
      </w:r>
      <w:r w:rsidR="00660ED3">
        <w:t>of the seventh periodic report through the simplified</w:t>
      </w:r>
      <w:r w:rsidR="00922E1B">
        <w:t xml:space="preserve"> reporting</w:t>
      </w:r>
      <w:r w:rsidR="00660ED3">
        <w:t xml:space="preserve"> procedure, in response to the list of issues prior to reporting (E/C.12/FIN/QPR/7). The Committee appreciates the acceptance by the State party </w:t>
      </w:r>
      <w:r w:rsidR="00922E1B">
        <w:t xml:space="preserve">of this </w:t>
      </w:r>
      <w:r w:rsidR="00480EF3">
        <w:t>procedure, which helps focus the review</w:t>
      </w:r>
      <w:r w:rsidR="00660ED3">
        <w:t xml:space="preserve">. The Committee also appreciates the </w:t>
      </w:r>
      <w:r w:rsidR="00532741">
        <w:t xml:space="preserve">frank and </w:t>
      </w:r>
      <w:r w:rsidR="00660ED3">
        <w:t xml:space="preserve">constructive dialogue held with the State party’s </w:t>
      </w:r>
      <w:proofErr w:type="spellStart"/>
      <w:r w:rsidR="00660ED3">
        <w:t>interministerial</w:t>
      </w:r>
      <w:proofErr w:type="spellEnd"/>
      <w:r w:rsidR="00660ED3">
        <w:t xml:space="preserve"> delegation.</w:t>
      </w:r>
    </w:p>
    <w:p w14:paraId="1DBDB4C6" w14:textId="77777777" w:rsidR="00AA50F9" w:rsidRPr="00954236" w:rsidRDefault="00AA50F9" w:rsidP="00C7603D">
      <w:pPr>
        <w:pStyle w:val="H1G"/>
      </w:pPr>
      <w:r w:rsidRPr="00954236">
        <w:tab/>
        <w:t>B.</w:t>
      </w:r>
      <w:r w:rsidRPr="00954236">
        <w:tab/>
        <w:t>Positive aspects</w:t>
      </w:r>
    </w:p>
    <w:p w14:paraId="11CCCBA7" w14:textId="4AD3F867" w:rsidR="00AA50F9" w:rsidRDefault="0009730B" w:rsidP="00EC7082">
      <w:pPr>
        <w:pStyle w:val="SingleTxtG"/>
        <w:numPr>
          <w:ilvl w:val="0"/>
          <w:numId w:val="28"/>
        </w:numPr>
        <w:tabs>
          <w:tab w:val="clear" w:pos="1701"/>
          <w:tab w:val="clear" w:pos="2268"/>
          <w:tab w:val="clear" w:pos="2835"/>
        </w:tabs>
        <w:ind w:left="1134" w:firstLine="0"/>
      </w:pPr>
      <w:proofErr w:type="gramStart"/>
      <w:r>
        <w:t xml:space="preserve">The Committee </w:t>
      </w:r>
      <w:r w:rsidR="00F30044">
        <w:t>welcome</w:t>
      </w:r>
      <w:r w:rsidR="00AA50F9" w:rsidRPr="00954236">
        <w:t>s</w:t>
      </w:r>
      <w:r w:rsidR="00AA50F9">
        <w:t xml:space="preserve"> </w:t>
      </w:r>
      <w:r>
        <w:t>the</w:t>
      </w:r>
      <w:r w:rsidR="00F30044">
        <w:t xml:space="preserve"> legislative, institutional and policy</w:t>
      </w:r>
      <w:r>
        <w:t xml:space="preserve"> measures taken </w:t>
      </w:r>
      <w:r w:rsidR="00F30044">
        <w:t>to ensure a high level of protection of economic, social and cultural rights in the State party</w:t>
      </w:r>
      <w:r>
        <w:t xml:space="preserve">, </w:t>
      </w:r>
      <w:r w:rsidR="00ED3483">
        <w:t>such as</w:t>
      </w:r>
      <w:r w:rsidR="00922E1B">
        <w:t xml:space="preserve"> the extension of the compulsory education to 18 years old</w:t>
      </w:r>
      <w:r w:rsidR="00ED3483">
        <w:t xml:space="preserve"> and to upper secondary education</w:t>
      </w:r>
      <w:r w:rsidR="007F4F83">
        <w:t>,</w:t>
      </w:r>
      <w:r w:rsidR="00922E1B">
        <w:t xml:space="preserve"> </w:t>
      </w:r>
      <w:r w:rsidR="00ED3483">
        <w:t>the adoption of the first ever national Child Strategy</w:t>
      </w:r>
      <w:r w:rsidR="007F4F83">
        <w:t>,</w:t>
      </w:r>
      <w:r w:rsidR="00922E1B">
        <w:t xml:space="preserve"> </w:t>
      </w:r>
      <w:r>
        <w:t xml:space="preserve">as </w:t>
      </w:r>
      <w:r w:rsidR="00ED3483">
        <w:t xml:space="preserve">well as those measures </w:t>
      </w:r>
      <w:r w:rsidR="007F4F83">
        <w:t xml:space="preserve">mentioned </w:t>
      </w:r>
      <w:r w:rsidR="00E55F7C">
        <w:t>in these present concluding observations</w:t>
      </w:r>
      <w:r>
        <w:t>.</w:t>
      </w:r>
      <w:proofErr w:type="gramEnd"/>
      <w:r w:rsidR="00F30044">
        <w:t xml:space="preserve"> </w:t>
      </w:r>
    </w:p>
    <w:p w14:paraId="78AD7039" w14:textId="77777777" w:rsidR="00AA50F9" w:rsidRPr="00954236" w:rsidRDefault="00AA50F9" w:rsidP="00C7603D">
      <w:pPr>
        <w:pStyle w:val="H1G"/>
      </w:pPr>
      <w:r w:rsidRPr="00954236">
        <w:tab/>
        <w:t>C.</w:t>
      </w:r>
      <w:r w:rsidRPr="00954236">
        <w:tab/>
        <w:t>Principal subjects of concern and recommendations</w:t>
      </w:r>
    </w:p>
    <w:p w14:paraId="30B74181" w14:textId="77777777" w:rsidR="0009730B" w:rsidRDefault="0009730B" w:rsidP="00906C7F">
      <w:pPr>
        <w:pStyle w:val="H23G"/>
        <w:tabs>
          <w:tab w:val="clear" w:pos="851"/>
        </w:tabs>
        <w:ind w:firstLine="0"/>
      </w:pPr>
      <w:r>
        <w:t>Domestic application of the Covenant</w:t>
      </w:r>
    </w:p>
    <w:p w14:paraId="0158C304" w14:textId="380BFEE4" w:rsidR="0009730B" w:rsidRDefault="0016337C" w:rsidP="00EC7082">
      <w:pPr>
        <w:pStyle w:val="SingleTxtG"/>
        <w:numPr>
          <w:ilvl w:val="0"/>
          <w:numId w:val="28"/>
        </w:numPr>
        <w:tabs>
          <w:tab w:val="clear" w:pos="1701"/>
          <w:tab w:val="clear" w:pos="2268"/>
          <w:tab w:val="clear" w:pos="2835"/>
        </w:tabs>
        <w:ind w:left="1134" w:firstLine="0"/>
      </w:pPr>
      <w:r>
        <w:t>T</w:t>
      </w:r>
      <w:r w:rsidR="0009730B">
        <w:t xml:space="preserve">he Committee notes that the provisions of the Covenant </w:t>
      </w:r>
      <w:proofErr w:type="gramStart"/>
      <w:r w:rsidR="0009730B">
        <w:t>are rarely invoked</w:t>
      </w:r>
      <w:proofErr w:type="gramEnd"/>
      <w:r w:rsidR="0009730B">
        <w:t xml:space="preserve"> in courts</w:t>
      </w:r>
      <w:r>
        <w:t xml:space="preserve">, especially </w:t>
      </w:r>
      <w:r w:rsidR="00F71E96">
        <w:t xml:space="preserve">in view of its status as a </w:t>
      </w:r>
      <w:r>
        <w:t xml:space="preserve">constitutional </w:t>
      </w:r>
      <w:r w:rsidR="00F71E96">
        <w:t xml:space="preserve">act </w:t>
      </w:r>
      <w:r>
        <w:t>in the State party’s domestic legal order</w:t>
      </w:r>
      <w:r w:rsidR="007F185D">
        <w:t xml:space="preserve"> </w:t>
      </w:r>
      <w:r w:rsidR="001A2ADA">
        <w:t>(art. 2(1))</w:t>
      </w:r>
      <w:r w:rsidR="007F185D">
        <w:t>.</w:t>
      </w:r>
      <w:r w:rsidR="0004609A">
        <w:t xml:space="preserve"> </w:t>
      </w:r>
    </w:p>
    <w:p w14:paraId="453E1910" w14:textId="40ED6B5D" w:rsidR="0009730B" w:rsidRPr="0009730B" w:rsidRDefault="00ED3483" w:rsidP="00EC7082">
      <w:pPr>
        <w:pStyle w:val="SingleTxtG"/>
        <w:numPr>
          <w:ilvl w:val="0"/>
          <w:numId w:val="28"/>
        </w:numPr>
        <w:tabs>
          <w:tab w:val="clear" w:pos="1701"/>
          <w:tab w:val="clear" w:pos="2268"/>
          <w:tab w:val="clear" w:pos="2835"/>
        </w:tabs>
        <w:ind w:left="1134" w:firstLine="0"/>
      </w:pPr>
      <w:proofErr w:type="gramStart"/>
      <w:r w:rsidRPr="007F4F83">
        <w:rPr>
          <w:b/>
        </w:rPr>
        <w:t>N</w:t>
      </w:r>
      <w:r w:rsidR="0004609A" w:rsidRPr="007F4F83">
        <w:rPr>
          <w:b/>
        </w:rPr>
        <w:t>oti</w:t>
      </w:r>
      <w:r w:rsidR="007F4F83">
        <w:rPr>
          <w:b/>
        </w:rPr>
        <w:t>ng the explanation provided by the State party that</w:t>
      </w:r>
      <w:r w:rsidR="007F4F83" w:rsidRPr="00B010A7">
        <w:rPr>
          <w:b/>
        </w:rPr>
        <w:t xml:space="preserve"> the Covenant and the rights it enshrines are reflected in national laws and regulations which</w:t>
      </w:r>
      <w:r w:rsidR="0004609A" w:rsidRPr="007F4F83">
        <w:rPr>
          <w:b/>
        </w:rPr>
        <w:t xml:space="preserve"> </w:t>
      </w:r>
      <w:r w:rsidR="007F4F83">
        <w:rPr>
          <w:b/>
        </w:rPr>
        <w:t>domestic</w:t>
      </w:r>
      <w:r w:rsidR="0004609A" w:rsidRPr="007F4F83">
        <w:rPr>
          <w:b/>
        </w:rPr>
        <w:t xml:space="preserve"> courts </w:t>
      </w:r>
      <w:r w:rsidR="007F4F83" w:rsidRPr="00B010A7">
        <w:rPr>
          <w:b/>
        </w:rPr>
        <w:t>invoke more readily</w:t>
      </w:r>
      <w:r w:rsidR="0004609A" w:rsidRPr="007F4F83">
        <w:rPr>
          <w:b/>
        </w:rPr>
        <w:t>,</w:t>
      </w:r>
      <w:r w:rsidR="0004609A">
        <w:rPr>
          <w:b/>
        </w:rPr>
        <w:t xml:space="preserve"> t</w:t>
      </w:r>
      <w:r w:rsidR="0009730B">
        <w:rPr>
          <w:b/>
        </w:rPr>
        <w:t>he Committee rec</w:t>
      </w:r>
      <w:r w:rsidR="00A64134">
        <w:rPr>
          <w:b/>
        </w:rPr>
        <w:t xml:space="preserve">ommends that awareness of the Covenant among the legal profession be promoted given that </w:t>
      </w:r>
      <w:r w:rsidR="003E7CF7">
        <w:rPr>
          <w:b/>
        </w:rPr>
        <w:t>domestic law should be interpreted as far as possible in a way which conforms to the rights and obligations under the Covenant</w:t>
      </w:r>
      <w:r w:rsidR="007F4F83">
        <w:rPr>
          <w:b/>
        </w:rPr>
        <w:t>.</w:t>
      </w:r>
      <w:proofErr w:type="gramEnd"/>
      <w:r w:rsidR="007F4F83">
        <w:rPr>
          <w:b/>
        </w:rPr>
        <w:t xml:space="preserve"> </w:t>
      </w:r>
      <w:r w:rsidR="00744A6E">
        <w:rPr>
          <w:b/>
        </w:rPr>
        <w:t>The Committee</w:t>
      </w:r>
      <w:r w:rsidR="001F0E6E">
        <w:rPr>
          <w:b/>
        </w:rPr>
        <w:t xml:space="preserve"> thus</w:t>
      </w:r>
      <w:r w:rsidR="007F4F83">
        <w:rPr>
          <w:b/>
        </w:rPr>
        <w:t xml:space="preserve"> rec</w:t>
      </w:r>
      <w:r w:rsidR="0009730B">
        <w:rPr>
          <w:b/>
        </w:rPr>
        <w:t>ommends that the State party:</w:t>
      </w:r>
    </w:p>
    <w:p w14:paraId="71146FC5" w14:textId="719B4D01" w:rsidR="003E7CF7" w:rsidRDefault="003E7CF7" w:rsidP="00367C28">
      <w:pPr>
        <w:pStyle w:val="SingleTxtG"/>
        <w:numPr>
          <w:ilvl w:val="0"/>
          <w:numId w:val="27"/>
        </w:numPr>
        <w:tabs>
          <w:tab w:val="clear" w:pos="1701"/>
          <w:tab w:val="clear" w:pos="2268"/>
          <w:tab w:val="clear" w:pos="2835"/>
        </w:tabs>
        <w:ind w:left="1134" w:firstLine="567"/>
        <w:rPr>
          <w:b/>
        </w:rPr>
      </w:pPr>
      <w:r w:rsidRPr="00C87981">
        <w:rPr>
          <w:b/>
        </w:rPr>
        <w:t xml:space="preserve">Enhance training for judges, lawyers and public officials on the Covenant and the </w:t>
      </w:r>
      <w:proofErr w:type="spellStart"/>
      <w:r w:rsidRPr="00C87981">
        <w:rPr>
          <w:b/>
        </w:rPr>
        <w:t>justiciability</w:t>
      </w:r>
      <w:proofErr w:type="spellEnd"/>
      <w:r w:rsidRPr="00C87981">
        <w:rPr>
          <w:b/>
        </w:rPr>
        <w:t xml:space="preserve"> of the rights therein;</w:t>
      </w:r>
    </w:p>
    <w:p w14:paraId="7A5465E2" w14:textId="6F3CA52D" w:rsidR="0009730B" w:rsidRPr="00C87981" w:rsidRDefault="0009730B" w:rsidP="00B010A7">
      <w:pPr>
        <w:pStyle w:val="SingleTxtG"/>
        <w:numPr>
          <w:ilvl w:val="0"/>
          <w:numId w:val="27"/>
        </w:numPr>
        <w:tabs>
          <w:tab w:val="clear" w:pos="1701"/>
          <w:tab w:val="clear" w:pos="2268"/>
          <w:tab w:val="clear" w:pos="2835"/>
        </w:tabs>
        <w:ind w:left="1134" w:firstLine="567"/>
        <w:rPr>
          <w:b/>
        </w:rPr>
      </w:pPr>
      <w:r w:rsidRPr="00C87981">
        <w:rPr>
          <w:b/>
        </w:rPr>
        <w:lastRenderedPageBreak/>
        <w:t xml:space="preserve">Raise awareness of economic, social and cultural rights and the </w:t>
      </w:r>
      <w:r w:rsidR="0004609A">
        <w:rPr>
          <w:b/>
        </w:rPr>
        <w:t>communications</w:t>
      </w:r>
      <w:r w:rsidRPr="00C87981">
        <w:rPr>
          <w:b/>
        </w:rPr>
        <w:t xml:space="preserve"> procedure under the Optional Protocol among the public;</w:t>
      </w:r>
    </w:p>
    <w:p w14:paraId="251E3E23" w14:textId="049999C0" w:rsidR="001A2ADA" w:rsidRPr="00C87981" w:rsidRDefault="00C87981" w:rsidP="00367C28">
      <w:pPr>
        <w:pStyle w:val="SingleTxtG"/>
        <w:tabs>
          <w:tab w:val="clear" w:pos="1701"/>
          <w:tab w:val="clear" w:pos="2268"/>
          <w:tab w:val="clear" w:pos="2835"/>
        </w:tabs>
        <w:ind w:firstLine="567"/>
        <w:rPr>
          <w:b/>
        </w:rPr>
      </w:pPr>
      <w:r w:rsidRPr="00C87981">
        <w:rPr>
          <w:b/>
        </w:rPr>
        <w:tab/>
        <w:t>(</w:t>
      </w:r>
      <w:r>
        <w:rPr>
          <w:b/>
        </w:rPr>
        <w:t>c</w:t>
      </w:r>
      <w:r w:rsidRPr="00C87981">
        <w:rPr>
          <w:b/>
        </w:rPr>
        <w:t>)</w:t>
      </w:r>
      <w:r>
        <w:rPr>
          <w:b/>
        </w:rPr>
        <w:tab/>
      </w:r>
      <w:r w:rsidR="00F30044" w:rsidRPr="00C87981">
        <w:rPr>
          <w:b/>
        </w:rPr>
        <w:t>Conduct</w:t>
      </w:r>
      <w:r w:rsidR="001A2ADA" w:rsidRPr="00C87981">
        <w:rPr>
          <w:b/>
        </w:rPr>
        <w:t xml:space="preserve"> impact assessment</w:t>
      </w:r>
      <w:r w:rsidR="00D94E91" w:rsidRPr="00C87981">
        <w:rPr>
          <w:b/>
        </w:rPr>
        <w:t xml:space="preserve"> on the Covenant rights</w:t>
      </w:r>
      <w:r w:rsidR="0004609A">
        <w:rPr>
          <w:b/>
        </w:rPr>
        <w:t>, including</w:t>
      </w:r>
      <w:r w:rsidR="00F72CE7" w:rsidRPr="00C87981">
        <w:rPr>
          <w:b/>
        </w:rPr>
        <w:t xml:space="preserve"> on equal rights of men and women</w:t>
      </w:r>
      <w:r w:rsidR="0004609A">
        <w:rPr>
          <w:b/>
        </w:rPr>
        <w:t>,</w:t>
      </w:r>
      <w:r w:rsidR="001A2ADA" w:rsidRPr="00C87981">
        <w:rPr>
          <w:b/>
        </w:rPr>
        <w:t xml:space="preserve"> </w:t>
      </w:r>
      <w:r w:rsidR="00F30044" w:rsidRPr="00C87981">
        <w:rPr>
          <w:b/>
        </w:rPr>
        <w:t xml:space="preserve">not only </w:t>
      </w:r>
      <w:r w:rsidR="00D94E91" w:rsidRPr="00C87981">
        <w:rPr>
          <w:b/>
        </w:rPr>
        <w:t>for proposed legislation, but also</w:t>
      </w:r>
      <w:r w:rsidR="001A2ADA" w:rsidRPr="00C87981">
        <w:rPr>
          <w:b/>
        </w:rPr>
        <w:t xml:space="preserve"> </w:t>
      </w:r>
      <w:r w:rsidR="00D94E91" w:rsidRPr="00C87981">
        <w:rPr>
          <w:b/>
        </w:rPr>
        <w:t>in</w:t>
      </w:r>
      <w:r w:rsidR="001A2ADA" w:rsidRPr="00C87981">
        <w:rPr>
          <w:b/>
        </w:rPr>
        <w:t xml:space="preserve"> policy-making processes.</w:t>
      </w:r>
    </w:p>
    <w:p w14:paraId="144292A5" w14:textId="77777777" w:rsidR="00A5391C" w:rsidRPr="00A5391C" w:rsidRDefault="00A5391C" w:rsidP="00C87981">
      <w:pPr>
        <w:pStyle w:val="H23G"/>
        <w:tabs>
          <w:tab w:val="clear" w:pos="851"/>
        </w:tabs>
        <w:ind w:firstLine="0"/>
      </w:pPr>
      <w:r>
        <w:t>Business and human rights</w:t>
      </w:r>
    </w:p>
    <w:p w14:paraId="590073D2" w14:textId="6513124B" w:rsidR="00AA50F9" w:rsidRDefault="001A2ADA" w:rsidP="00EC7082">
      <w:pPr>
        <w:pStyle w:val="SingleTxtG"/>
        <w:numPr>
          <w:ilvl w:val="0"/>
          <w:numId w:val="28"/>
        </w:numPr>
        <w:tabs>
          <w:tab w:val="clear" w:pos="1701"/>
          <w:tab w:val="clear" w:pos="2268"/>
          <w:tab w:val="clear" w:pos="2835"/>
        </w:tabs>
        <w:ind w:left="1134" w:firstLine="0"/>
      </w:pPr>
      <w:proofErr w:type="gramStart"/>
      <w:r>
        <w:t>While appreciating the State party’s leadership in the promotion of the business and human rights agenda in regional and international fora, t</w:t>
      </w:r>
      <w:r w:rsidR="00AA50F9" w:rsidRPr="00954236">
        <w:t>he Co</w:t>
      </w:r>
      <w:r w:rsidR="00AA50F9">
        <w:t xml:space="preserve">mmittee </w:t>
      </w:r>
      <w:r>
        <w:t xml:space="preserve">is concerned at the limited impact of the implementation of its National Action Plan on Business and Human Rights and at the absence of legal obligations for businesses under the State party’s jurisdiction to exercise </w:t>
      </w:r>
      <w:r w:rsidR="0016337C">
        <w:t xml:space="preserve">human rights </w:t>
      </w:r>
      <w:r>
        <w:t>due diligence.</w:t>
      </w:r>
      <w:proofErr w:type="gramEnd"/>
      <w:r>
        <w:t xml:space="preserve"> </w:t>
      </w:r>
      <w:r w:rsidR="00D12BDB">
        <w:t>In this regard</w:t>
      </w:r>
      <w:r>
        <w:t xml:space="preserve">, the Committee is concerned at </w:t>
      </w:r>
      <w:r w:rsidR="000A1DCA">
        <w:t xml:space="preserve">reports </w:t>
      </w:r>
      <w:r w:rsidR="00D12BDB">
        <w:t>of</w:t>
      </w:r>
      <w:r w:rsidR="000A1DCA">
        <w:t xml:space="preserve"> lack of a thorough human rights impact assessment of a project operated abroad by UPM, </w:t>
      </w:r>
      <w:r w:rsidR="00083484">
        <w:t xml:space="preserve">a company </w:t>
      </w:r>
      <w:r w:rsidR="00480EF3">
        <w:t xml:space="preserve">domiciled </w:t>
      </w:r>
      <w:r w:rsidR="004B575F">
        <w:t>in the State party</w:t>
      </w:r>
      <w:r w:rsidR="009768A0">
        <w:t xml:space="preserve"> </w:t>
      </w:r>
      <w:r w:rsidR="00F12340">
        <w:t>(art. 2(1))</w:t>
      </w:r>
      <w:r w:rsidR="004B575F">
        <w:t>.</w:t>
      </w:r>
    </w:p>
    <w:p w14:paraId="01681BC1" w14:textId="77777777" w:rsidR="00AA50F9" w:rsidRDefault="00AA50F9" w:rsidP="00EC7082">
      <w:pPr>
        <w:pStyle w:val="SingleTxtG"/>
        <w:numPr>
          <w:ilvl w:val="0"/>
          <w:numId w:val="28"/>
        </w:numPr>
        <w:tabs>
          <w:tab w:val="clear" w:pos="1701"/>
          <w:tab w:val="clear" w:pos="2268"/>
          <w:tab w:val="clear" w:pos="2835"/>
        </w:tabs>
        <w:ind w:left="1134" w:firstLine="0"/>
        <w:rPr>
          <w:b/>
        </w:rPr>
      </w:pPr>
      <w:r w:rsidRPr="008D3840">
        <w:rPr>
          <w:b/>
        </w:rPr>
        <w:t>The Committee recommends</w:t>
      </w:r>
      <w:r w:rsidR="00D94E91">
        <w:rPr>
          <w:b/>
        </w:rPr>
        <w:t xml:space="preserve"> </w:t>
      </w:r>
      <w:r w:rsidR="0059350E">
        <w:rPr>
          <w:b/>
        </w:rPr>
        <w:t xml:space="preserve">that the State party adopt </w:t>
      </w:r>
      <w:r w:rsidR="00884121">
        <w:rPr>
          <w:b/>
        </w:rPr>
        <w:t xml:space="preserve">a regulatory framework on human rights due diligence making it compulsory for companies domiciled in the State party or under its jurisdiction to identify, prevent and address human rights violations in their operations, including abroad. Such companies should be liable for violations and victims, including non-nationals, should be able to access effective remedies in the State party. Moreover, the Committee urges the State party to conduct investigations when reports of human rights violations by Finnish companies </w:t>
      </w:r>
      <w:proofErr w:type="gramStart"/>
      <w:r w:rsidR="00884121">
        <w:rPr>
          <w:b/>
        </w:rPr>
        <w:t>are brought</w:t>
      </w:r>
      <w:proofErr w:type="gramEnd"/>
      <w:r w:rsidR="00884121">
        <w:rPr>
          <w:b/>
        </w:rPr>
        <w:t xml:space="preserve"> to its knowledge. The Committee refers the State party to its general comment </w:t>
      </w:r>
      <w:r w:rsidR="008E7B33">
        <w:rPr>
          <w:b/>
        </w:rPr>
        <w:t>No.</w:t>
      </w:r>
      <w:r w:rsidR="00884121">
        <w:rPr>
          <w:b/>
        </w:rPr>
        <w:t xml:space="preserve"> 24 (2017) on State obligations under the Covenant in the context of business activities. </w:t>
      </w:r>
    </w:p>
    <w:p w14:paraId="11FD7423" w14:textId="77777777" w:rsidR="00340C16" w:rsidRDefault="00340C16" w:rsidP="00C87981">
      <w:pPr>
        <w:pStyle w:val="H23G"/>
        <w:tabs>
          <w:tab w:val="clear" w:pos="851"/>
        </w:tabs>
        <w:ind w:firstLine="0"/>
      </w:pPr>
      <w:r>
        <w:t>Access to COVID-19 vaccines and drugs</w:t>
      </w:r>
    </w:p>
    <w:p w14:paraId="435D1EF5" w14:textId="683CECEE" w:rsidR="00340C16" w:rsidRPr="005266C6" w:rsidRDefault="000A4180" w:rsidP="00EC7082">
      <w:pPr>
        <w:pStyle w:val="SingleTxtG"/>
        <w:numPr>
          <w:ilvl w:val="0"/>
          <w:numId w:val="28"/>
        </w:numPr>
        <w:tabs>
          <w:tab w:val="clear" w:pos="1701"/>
          <w:tab w:val="clear" w:pos="2268"/>
          <w:tab w:val="clear" w:pos="2835"/>
        </w:tabs>
        <w:ind w:left="1134" w:firstLine="0"/>
      </w:pPr>
      <w:proofErr w:type="gramStart"/>
      <w:r>
        <w:t>Noting the State party’s intention to use its own ongoing research and development projects to support global availability and accessibility of COVID-19 vaccines, t</w:t>
      </w:r>
      <w:r w:rsidR="00340C16">
        <w:t>he Committee regrets that</w:t>
      </w:r>
      <w:r w:rsidR="00ED3483">
        <w:t xml:space="preserve"> </w:t>
      </w:r>
      <w:r w:rsidR="00AF10D8">
        <w:t>the State party</w:t>
      </w:r>
      <w:r w:rsidR="00340C16">
        <w:t xml:space="preserve"> did not </w:t>
      </w:r>
      <w:r w:rsidR="000271F1">
        <w:t xml:space="preserve">give indication, at the time of the dialogue, that it would </w:t>
      </w:r>
      <w:r w:rsidR="00E63212">
        <w:t>play an active role</w:t>
      </w:r>
      <w:r w:rsidR="00340C16">
        <w:t xml:space="preserve">  </w:t>
      </w:r>
      <w:r w:rsidR="00E63212">
        <w:t>in</w:t>
      </w:r>
      <w:r w:rsidR="00340C16">
        <w:t xml:space="preserve"> </w:t>
      </w:r>
      <w:r w:rsidR="00884121">
        <w:t>advocat</w:t>
      </w:r>
      <w:r w:rsidR="00E63212">
        <w:t>ing</w:t>
      </w:r>
      <w:r w:rsidR="00340C16">
        <w:t xml:space="preserve"> for</w:t>
      </w:r>
      <w:r w:rsidR="000A1DCA">
        <w:t xml:space="preserve"> universal,</w:t>
      </w:r>
      <w:r w:rsidR="00340C16">
        <w:t xml:space="preserve"> </w:t>
      </w:r>
      <w:r w:rsidR="00AF10D8">
        <w:t>equitable</w:t>
      </w:r>
      <w:r w:rsidR="00340C16">
        <w:t xml:space="preserve"> and affordable access </w:t>
      </w:r>
      <w:r w:rsidR="007F185D">
        <w:t xml:space="preserve">to COVID-19 vaccines and drugs </w:t>
      </w:r>
      <w:r w:rsidR="00ED3483">
        <w:t xml:space="preserve">in regional and international organisations of which it is a member </w:t>
      </w:r>
      <w:r w:rsidR="00340C16">
        <w:t>(arts 2(1), 12, 15))</w:t>
      </w:r>
      <w:r w:rsidR="007F185D">
        <w:t>.</w:t>
      </w:r>
      <w:proofErr w:type="gramEnd"/>
      <w:r w:rsidR="009768A0">
        <w:t xml:space="preserve"> </w:t>
      </w:r>
    </w:p>
    <w:p w14:paraId="667983D7" w14:textId="2824270A" w:rsidR="00340C16" w:rsidRDefault="00340C16" w:rsidP="00B010A7">
      <w:pPr>
        <w:pStyle w:val="SingleTxtG"/>
        <w:numPr>
          <w:ilvl w:val="0"/>
          <w:numId w:val="28"/>
        </w:numPr>
        <w:tabs>
          <w:tab w:val="clear" w:pos="1701"/>
          <w:tab w:val="clear" w:pos="2268"/>
          <w:tab w:val="clear" w:pos="2835"/>
        </w:tabs>
        <w:ind w:left="1134" w:firstLine="0"/>
        <w:rPr>
          <w:b/>
        </w:rPr>
      </w:pPr>
      <w:proofErr w:type="gramStart"/>
      <w:r w:rsidRPr="00884121">
        <w:rPr>
          <w:b/>
        </w:rPr>
        <w:t xml:space="preserve">The </w:t>
      </w:r>
      <w:r>
        <w:rPr>
          <w:b/>
        </w:rPr>
        <w:t xml:space="preserve">Committee recommends that the State party make every effort to exercise its leverage in regional and international organisations of which it is a member to </w:t>
      </w:r>
      <w:r w:rsidR="00884121">
        <w:rPr>
          <w:b/>
        </w:rPr>
        <w:t>advocate for</w:t>
      </w:r>
      <w:r w:rsidR="000A1DCA">
        <w:rPr>
          <w:b/>
        </w:rPr>
        <w:t xml:space="preserve"> universal,</w:t>
      </w:r>
      <w:r w:rsidR="00884121">
        <w:rPr>
          <w:b/>
        </w:rPr>
        <w:t xml:space="preserve"> </w:t>
      </w:r>
      <w:r w:rsidR="00AF10D8">
        <w:rPr>
          <w:b/>
        </w:rPr>
        <w:t>equitable</w:t>
      </w:r>
      <w:r>
        <w:rPr>
          <w:b/>
        </w:rPr>
        <w:t xml:space="preserve"> and affordable access</w:t>
      </w:r>
      <w:r w:rsidR="00884121">
        <w:rPr>
          <w:b/>
        </w:rPr>
        <w:t xml:space="preserve"> to COVID-19 vaccines and drugs</w:t>
      </w:r>
      <w:r w:rsidR="00E63212">
        <w:rPr>
          <w:b/>
        </w:rPr>
        <w:t xml:space="preserve">, </w:t>
      </w:r>
      <w:r w:rsidR="00E63212" w:rsidRPr="00E63212">
        <w:rPr>
          <w:b/>
        </w:rPr>
        <w:t xml:space="preserve">including through the possibility of supporting the proposals made in the WTO of establishing a </w:t>
      </w:r>
      <w:r w:rsidR="00E63212">
        <w:rPr>
          <w:b/>
        </w:rPr>
        <w:t xml:space="preserve">temporary </w:t>
      </w:r>
      <w:r w:rsidR="00E63212" w:rsidRPr="00E63212">
        <w:rPr>
          <w:b/>
        </w:rPr>
        <w:t>waiver for</w:t>
      </w:r>
      <w:r w:rsidR="00BF3ACD">
        <w:rPr>
          <w:b/>
        </w:rPr>
        <w:t xml:space="preserve"> some</w:t>
      </w:r>
      <w:r w:rsidR="00E63212" w:rsidRPr="00E63212">
        <w:rPr>
          <w:b/>
        </w:rPr>
        <w:t xml:space="preserve"> intellectual property</w:t>
      </w:r>
      <w:r w:rsidR="00E63212">
        <w:rPr>
          <w:b/>
        </w:rPr>
        <w:t xml:space="preserve"> rights </w:t>
      </w:r>
      <w:r w:rsidR="00E63212" w:rsidRPr="00E63212">
        <w:rPr>
          <w:b/>
        </w:rPr>
        <w:t>for vaccines at least</w:t>
      </w:r>
      <w:r w:rsidR="00E63212">
        <w:rPr>
          <w:b/>
        </w:rPr>
        <w:t xml:space="preserve"> for</w:t>
      </w:r>
      <w:r w:rsidR="00E63212" w:rsidRPr="00E63212">
        <w:rPr>
          <w:b/>
        </w:rPr>
        <w:t xml:space="preserve"> as long as the pandemic continues</w:t>
      </w:r>
      <w:r w:rsidR="00884121">
        <w:rPr>
          <w:b/>
        </w:rPr>
        <w:t>.</w:t>
      </w:r>
      <w:proofErr w:type="gramEnd"/>
      <w:r w:rsidR="00884121">
        <w:rPr>
          <w:b/>
        </w:rPr>
        <w:t xml:space="preserve"> The Committee draws the attention of the State party to its statement (2020) on universal and equitable access to vaccines for the coronavir</w:t>
      </w:r>
      <w:r w:rsidR="008E7B33">
        <w:rPr>
          <w:b/>
        </w:rPr>
        <w:t>us disease</w:t>
      </w:r>
      <w:r w:rsidR="00480EF3">
        <w:rPr>
          <w:b/>
        </w:rPr>
        <w:t>,</w:t>
      </w:r>
      <w:r w:rsidR="008E7B33">
        <w:rPr>
          <w:b/>
        </w:rPr>
        <w:t xml:space="preserve"> </w:t>
      </w:r>
      <w:r w:rsidR="00480EF3">
        <w:rPr>
          <w:b/>
        </w:rPr>
        <w:t xml:space="preserve">to paragraph 82 of general comment No. 25 (2020) on science and economic, social and cultural rights, and </w:t>
      </w:r>
      <w:r w:rsidR="008E7B33">
        <w:rPr>
          <w:b/>
        </w:rPr>
        <w:t>paragraph 39 of general comment No. 14 (2000) on the right to the highes</w:t>
      </w:r>
      <w:r w:rsidR="00480EF3">
        <w:rPr>
          <w:b/>
        </w:rPr>
        <w:t xml:space="preserve">t attainable standard of health. </w:t>
      </w:r>
    </w:p>
    <w:p w14:paraId="5EC3C7BD" w14:textId="77777777" w:rsidR="008E7B33" w:rsidRDefault="008E7B33" w:rsidP="00C87981">
      <w:pPr>
        <w:pStyle w:val="H23G"/>
        <w:tabs>
          <w:tab w:val="clear" w:pos="851"/>
        </w:tabs>
        <w:ind w:firstLine="0"/>
      </w:pPr>
      <w:r>
        <w:t>Official development assistance</w:t>
      </w:r>
    </w:p>
    <w:p w14:paraId="17D28870" w14:textId="045A562F" w:rsidR="008E7B33" w:rsidRPr="005266C6" w:rsidRDefault="008E7B33" w:rsidP="00EC7082">
      <w:pPr>
        <w:pStyle w:val="SingleTxtG"/>
        <w:numPr>
          <w:ilvl w:val="0"/>
          <w:numId w:val="28"/>
        </w:numPr>
        <w:tabs>
          <w:tab w:val="clear" w:pos="1701"/>
          <w:tab w:val="clear" w:pos="2268"/>
          <w:tab w:val="clear" w:pos="2835"/>
        </w:tabs>
        <w:ind w:left="1134" w:firstLine="0"/>
      </w:pPr>
      <w:r>
        <w:t xml:space="preserve">The Committee regrets </w:t>
      </w:r>
      <w:r w:rsidR="009A2EE9">
        <w:t xml:space="preserve">the </w:t>
      </w:r>
      <w:r w:rsidR="00C53BAE">
        <w:t xml:space="preserve">State party’s </w:t>
      </w:r>
      <w:r w:rsidR="009A2EE9">
        <w:t xml:space="preserve">slow progress towards reaching </w:t>
      </w:r>
      <w:r>
        <w:t>the internationally agreed target</w:t>
      </w:r>
      <w:r w:rsidR="009A2EE9">
        <w:t xml:space="preserve"> of official development assistance</w:t>
      </w:r>
      <w:r>
        <w:t xml:space="preserve"> (art. 2(1))</w:t>
      </w:r>
      <w:r w:rsidR="004B575F">
        <w:t>.</w:t>
      </w:r>
      <w:r w:rsidR="00367C28">
        <w:t xml:space="preserve"> </w:t>
      </w:r>
    </w:p>
    <w:p w14:paraId="02C8DDF3" w14:textId="29BCF90A" w:rsidR="008E7B33" w:rsidRDefault="008E7B33" w:rsidP="00EC7082">
      <w:pPr>
        <w:pStyle w:val="SingleTxtG"/>
        <w:numPr>
          <w:ilvl w:val="0"/>
          <w:numId w:val="28"/>
        </w:numPr>
        <w:tabs>
          <w:tab w:val="clear" w:pos="1701"/>
          <w:tab w:val="clear" w:pos="2268"/>
          <w:tab w:val="clear" w:pos="2835"/>
        </w:tabs>
        <w:ind w:left="1134" w:firstLine="0"/>
        <w:rPr>
          <w:b/>
        </w:rPr>
      </w:pPr>
      <w:r>
        <w:rPr>
          <w:b/>
        </w:rPr>
        <w:t>The Committee recommends that the State party step up its efforts to meet the internationally agreed target of official development assistance of 0.7 per cent of gross national income.</w:t>
      </w:r>
      <w:r w:rsidR="003E7CF7">
        <w:rPr>
          <w:b/>
        </w:rPr>
        <w:t xml:space="preserve"> It also recommends that the State party ensure that its contribution to the Green Climate Fund is over and above the current level of official development assistance and is not to the detriment of development assistance in other areas.</w:t>
      </w:r>
    </w:p>
    <w:p w14:paraId="6EF75BA9" w14:textId="77777777" w:rsidR="008E7B33" w:rsidRPr="00612951" w:rsidRDefault="00A34F3E" w:rsidP="00C87981">
      <w:pPr>
        <w:pStyle w:val="H23G"/>
        <w:tabs>
          <w:tab w:val="clear" w:pos="851"/>
        </w:tabs>
        <w:ind w:firstLine="0"/>
      </w:pPr>
      <w:r>
        <w:t>Data collection</w:t>
      </w:r>
    </w:p>
    <w:p w14:paraId="22845EEE" w14:textId="42E90D96" w:rsidR="008E7B33" w:rsidRDefault="008E7B33" w:rsidP="00EC7082">
      <w:pPr>
        <w:pStyle w:val="SingleTxtG"/>
        <w:numPr>
          <w:ilvl w:val="0"/>
          <w:numId w:val="28"/>
        </w:numPr>
        <w:tabs>
          <w:tab w:val="clear" w:pos="1701"/>
          <w:tab w:val="clear" w:pos="2268"/>
          <w:tab w:val="clear" w:pos="2835"/>
        </w:tabs>
        <w:ind w:left="1134" w:firstLine="0"/>
      </w:pPr>
      <w:r w:rsidRPr="005266C6">
        <w:t>The</w:t>
      </w:r>
      <w:r>
        <w:t xml:space="preserve"> Committee notes </w:t>
      </w:r>
      <w:r w:rsidR="001E5CF2">
        <w:t xml:space="preserve">with appreciation </w:t>
      </w:r>
      <w:r>
        <w:t>the generally</w:t>
      </w:r>
      <w:r w:rsidR="001E5CF2">
        <w:t xml:space="preserve"> high level of enjoyment of economic, social and cultural rights </w:t>
      </w:r>
      <w:r>
        <w:t xml:space="preserve">in the State party. Nonetheless, it is concerned that some </w:t>
      </w:r>
      <w:r w:rsidR="004C3004">
        <w:lastRenderedPageBreak/>
        <w:t>sections</w:t>
      </w:r>
      <w:r>
        <w:t xml:space="preserve"> of the population are marginalized and disadvantaged in the exercise of the </w:t>
      </w:r>
      <w:r w:rsidR="001E5CF2">
        <w:t>Covenant rights</w:t>
      </w:r>
      <w:r w:rsidR="007A2509">
        <w:t>, as addressed in the present concluding observations,</w:t>
      </w:r>
      <w:r w:rsidR="001E5CF2">
        <w:t xml:space="preserve"> and that </w:t>
      </w:r>
      <w:r>
        <w:t xml:space="preserve">the lack of disaggregated statistical data </w:t>
      </w:r>
      <w:r w:rsidR="001E5CF2">
        <w:t xml:space="preserve">hampers a reliable assessment of </w:t>
      </w:r>
      <w:r>
        <w:t xml:space="preserve">the extent of inequality and discrimination </w:t>
      </w:r>
      <w:r w:rsidR="001E5CF2">
        <w:t>and the possibility to use data to</w:t>
      </w:r>
      <w:r w:rsidR="004B575F">
        <w:t xml:space="preserve"> inform related policies</w:t>
      </w:r>
      <w:r>
        <w:t xml:space="preserve"> (art. 2(2))</w:t>
      </w:r>
      <w:r w:rsidR="004B575F">
        <w:t>.</w:t>
      </w:r>
    </w:p>
    <w:p w14:paraId="4B3A96AB" w14:textId="77777777" w:rsidR="008E7B33" w:rsidRDefault="008E7B33" w:rsidP="00EC7082">
      <w:pPr>
        <w:pStyle w:val="SingleTxtG"/>
        <w:numPr>
          <w:ilvl w:val="0"/>
          <w:numId w:val="28"/>
        </w:numPr>
        <w:tabs>
          <w:tab w:val="clear" w:pos="1701"/>
          <w:tab w:val="clear" w:pos="2268"/>
          <w:tab w:val="clear" w:pos="2835"/>
        </w:tabs>
        <w:ind w:left="1134" w:firstLine="0"/>
      </w:pPr>
      <w:r>
        <w:rPr>
          <w:b/>
        </w:rPr>
        <w:t>The Committee recommends that</w:t>
      </w:r>
      <w:r w:rsidR="00BB5AF6">
        <w:rPr>
          <w:b/>
        </w:rPr>
        <w:t xml:space="preserve"> the State party</w:t>
      </w:r>
      <w:r>
        <w:rPr>
          <w:b/>
        </w:rPr>
        <w:t xml:space="preserve"> improve its data-collection system with a view to producing reliable data disaggregated based on prohibited grounds of discrimination and to identifying those groups that are disadvantaged in their exercise of economic, social and cultural rights. </w:t>
      </w:r>
      <w:proofErr w:type="gramStart"/>
      <w:r>
        <w:rPr>
          <w:b/>
        </w:rPr>
        <w:t>In this regard, the Committee also recommends that the State party (a) apply a participatory approach and appropriate methodologies in order to collect data on ‘hard-to-count’, marginalised populations and those who may be excluded from traditional household surveys; (b) use, on the basis of the principle of self-identification, proxy indicators to circumvent the legal prohibition of collection of data on the basis of ethnicity.</w:t>
      </w:r>
      <w:proofErr w:type="gramEnd"/>
      <w:r>
        <w:rPr>
          <w:b/>
        </w:rPr>
        <w:t xml:space="preserve"> </w:t>
      </w:r>
      <w:r w:rsidR="00E41C80">
        <w:rPr>
          <w:b/>
        </w:rPr>
        <w:t>The Committee refers the State party to OHCHR’s publication on human rights-based approach to data.</w:t>
      </w:r>
    </w:p>
    <w:p w14:paraId="21B2FF88" w14:textId="18A8F5E2" w:rsidR="006E48D7" w:rsidRDefault="00FE3F9E" w:rsidP="00C87981">
      <w:pPr>
        <w:pStyle w:val="H23G"/>
        <w:tabs>
          <w:tab w:val="clear" w:pos="851"/>
        </w:tabs>
        <w:ind w:firstLine="0"/>
      </w:pPr>
      <w:r>
        <w:t>Non-</w:t>
      </w:r>
      <w:r w:rsidR="006E48D7">
        <w:t>Discrimination</w:t>
      </w:r>
      <w:r w:rsidR="00367C28">
        <w:t xml:space="preserve"> </w:t>
      </w:r>
    </w:p>
    <w:p w14:paraId="6B01BCFA" w14:textId="021C58F9" w:rsidR="006E48D7" w:rsidRPr="00635994" w:rsidRDefault="006E48D7" w:rsidP="00EC7082">
      <w:pPr>
        <w:pStyle w:val="SingleTxtG"/>
        <w:numPr>
          <w:ilvl w:val="0"/>
          <w:numId w:val="28"/>
        </w:numPr>
        <w:tabs>
          <w:tab w:val="clear" w:pos="1701"/>
          <w:tab w:val="clear" w:pos="2268"/>
          <w:tab w:val="clear" w:pos="2835"/>
        </w:tabs>
        <w:ind w:left="1134" w:firstLine="0"/>
      </w:pPr>
      <w:r>
        <w:t xml:space="preserve">The Committee notes with concern the reports of </w:t>
      </w:r>
      <w:r w:rsidR="007050B0">
        <w:t>continuous</w:t>
      </w:r>
      <w:r>
        <w:t xml:space="preserve"> discrimination against groups such as the Sámi</w:t>
      </w:r>
      <w:r w:rsidR="003873AB">
        <w:t xml:space="preserve"> or</w:t>
      </w:r>
      <w:r>
        <w:t xml:space="preserve"> those with migration background, which necessarily </w:t>
      </w:r>
      <w:r w:rsidR="000A1DCA">
        <w:t>hampers an</w:t>
      </w:r>
      <w:r>
        <w:t xml:space="preserve"> equal exercise of rights in areas such as employment, housing and education. The Committee is also concerned at information about </w:t>
      </w:r>
      <w:r w:rsidRPr="00635994">
        <w:t>lack of visibility of these groups in the society in the State par</w:t>
      </w:r>
      <w:r w:rsidR="007F185D" w:rsidRPr="00635994">
        <w:t>ty</w:t>
      </w:r>
      <w:r w:rsidRPr="00635994">
        <w:t xml:space="preserve"> (art. 2(2))</w:t>
      </w:r>
      <w:r w:rsidR="007F185D" w:rsidRPr="00635994">
        <w:t>.</w:t>
      </w:r>
    </w:p>
    <w:p w14:paraId="3CBBA1FB" w14:textId="2556349A" w:rsidR="006E48D7" w:rsidRDefault="006E48D7" w:rsidP="00EC7082">
      <w:pPr>
        <w:pStyle w:val="SingleTxtG"/>
        <w:numPr>
          <w:ilvl w:val="0"/>
          <w:numId w:val="28"/>
        </w:numPr>
        <w:tabs>
          <w:tab w:val="clear" w:pos="1701"/>
          <w:tab w:val="clear" w:pos="2268"/>
          <w:tab w:val="clear" w:pos="2835"/>
        </w:tabs>
        <w:ind w:left="1134" w:firstLine="0"/>
      </w:pPr>
      <w:r w:rsidRPr="00AB2AFA">
        <w:rPr>
          <w:b/>
        </w:rPr>
        <w:t>The Committee recommends that</w:t>
      </w:r>
      <w:r w:rsidR="00AB2AFA">
        <w:rPr>
          <w:b/>
        </w:rPr>
        <w:t>, in the revision of the Non-Discrimination Act</w:t>
      </w:r>
      <w:r w:rsidR="00CD5524">
        <w:rPr>
          <w:b/>
        </w:rPr>
        <w:t xml:space="preserve"> and other relevant laws</w:t>
      </w:r>
      <w:r w:rsidR="00AB2AFA">
        <w:rPr>
          <w:b/>
        </w:rPr>
        <w:t>,</w:t>
      </w:r>
      <w:r w:rsidRPr="00AB2AFA">
        <w:rPr>
          <w:b/>
        </w:rPr>
        <w:t xml:space="preserve"> </w:t>
      </w:r>
      <w:r w:rsidR="00AB2AFA" w:rsidRPr="00AB2AFA">
        <w:rPr>
          <w:b/>
        </w:rPr>
        <w:t xml:space="preserve">the State party </w:t>
      </w:r>
      <w:r w:rsidR="00CD5524">
        <w:rPr>
          <w:b/>
        </w:rPr>
        <w:t xml:space="preserve">(a) </w:t>
      </w:r>
      <w:r w:rsidR="00AB2AFA">
        <w:rPr>
          <w:b/>
        </w:rPr>
        <w:t xml:space="preserve">expand the </w:t>
      </w:r>
      <w:r w:rsidR="00FE3F9E">
        <w:rPr>
          <w:b/>
        </w:rPr>
        <w:t xml:space="preserve">scope </w:t>
      </w:r>
      <w:r w:rsidR="00AB2AFA">
        <w:rPr>
          <w:b/>
        </w:rPr>
        <w:t xml:space="preserve">of </w:t>
      </w:r>
      <w:r w:rsidR="00CD5524">
        <w:rPr>
          <w:b/>
        </w:rPr>
        <w:t>its legislation</w:t>
      </w:r>
      <w:r w:rsidR="00AB2AFA">
        <w:rPr>
          <w:b/>
        </w:rPr>
        <w:t xml:space="preserve"> to </w:t>
      </w:r>
      <w:r w:rsidR="00FE3F9E">
        <w:rPr>
          <w:b/>
        </w:rPr>
        <w:t xml:space="preserve">cover </w:t>
      </w:r>
      <w:r w:rsidR="00AB2AFA">
        <w:rPr>
          <w:b/>
        </w:rPr>
        <w:t xml:space="preserve">discrimination </w:t>
      </w:r>
      <w:r w:rsidR="00FE3F9E">
        <w:rPr>
          <w:b/>
        </w:rPr>
        <w:t xml:space="preserve">committed </w:t>
      </w:r>
      <w:r w:rsidR="00AB2AFA">
        <w:rPr>
          <w:b/>
        </w:rPr>
        <w:t>by individuals</w:t>
      </w:r>
      <w:r w:rsidR="00CD5524">
        <w:rPr>
          <w:b/>
        </w:rPr>
        <w:t xml:space="preserve"> and (</w:t>
      </w:r>
      <w:r w:rsidR="00CE087B">
        <w:rPr>
          <w:b/>
        </w:rPr>
        <w:t>b</w:t>
      </w:r>
      <w:r w:rsidR="00CD5524">
        <w:rPr>
          <w:b/>
        </w:rPr>
        <w:t>) improve the effectiveness of the anti-discrimination institutional</w:t>
      </w:r>
      <w:r w:rsidR="00146625">
        <w:rPr>
          <w:b/>
        </w:rPr>
        <w:t xml:space="preserve"> framework</w:t>
      </w:r>
      <w:r w:rsidR="00AB2AFA">
        <w:rPr>
          <w:b/>
        </w:rPr>
        <w:t xml:space="preserve">. </w:t>
      </w:r>
      <w:proofErr w:type="gramStart"/>
      <w:r w:rsidR="00AB2AFA">
        <w:rPr>
          <w:b/>
        </w:rPr>
        <w:t xml:space="preserve">The Committee also recommends that </w:t>
      </w:r>
      <w:r w:rsidR="004B52BC">
        <w:rPr>
          <w:b/>
        </w:rPr>
        <w:t xml:space="preserve">the State party implement </w:t>
      </w:r>
      <w:r w:rsidR="00AB2AFA">
        <w:rPr>
          <w:b/>
        </w:rPr>
        <w:t xml:space="preserve">the action plan to combat racism and discrimination </w:t>
      </w:r>
      <w:r w:rsidR="004B52BC">
        <w:rPr>
          <w:b/>
        </w:rPr>
        <w:t>and other relevant policies in a participatory manner, with</w:t>
      </w:r>
      <w:r w:rsidR="00AB2AFA">
        <w:rPr>
          <w:b/>
        </w:rPr>
        <w:t xml:space="preserve"> particular attention to discrimination in the exercise of economic, social and cultural rights as well as to increasing the visibility of those groups who are not from the ethnic majority</w:t>
      </w:r>
      <w:r w:rsidR="000271F1">
        <w:rPr>
          <w:b/>
        </w:rPr>
        <w:t>, with a view to promoting greater respect for cultural diversity in the State party</w:t>
      </w:r>
      <w:r w:rsidR="00AB2AFA" w:rsidRPr="00AB2AFA">
        <w:rPr>
          <w:b/>
        </w:rPr>
        <w:t>.</w:t>
      </w:r>
      <w:proofErr w:type="gramEnd"/>
      <w:r w:rsidR="00AB2AFA" w:rsidRPr="00AB2AFA">
        <w:rPr>
          <w:b/>
        </w:rPr>
        <w:t xml:space="preserve"> </w:t>
      </w:r>
      <w:r w:rsidR="009B520A" w:rsidRPr="00AB2AFA">
        <w:rPr>
          <w:b/>
        </w:rPr>
        <w:t>The Committee draws the attention of the State party to general comment No. 20 (2009) on non-discrimination in the enjoyment of economic, social and cultural rights.</w:t>
      </w:r>
    </w:p>
    <w:p w14:paraId="0541E80A" w14:textId="77777777" w:rsidR="00612951" w:rsidRDefault="00612951" w:rsidP="00C87981">
      <w:pPr>
        <w:pStyle w:val="H23G"/>
        <w:tabs>
          <w:tab w:val="clear" w:pos="851"/>
        </w:tabs>
        <w:ind w:firstLine="0"/>
      </w:pPr>
      <w:r>
        <w:t>Rights of persons with disabilities</w:t>
      </w:r>
    </w:p>
    <w:p w14:paraId="4C6F708B" w14:textId="772CC5CB" w:rsidR="00612951" w:rsidRDefault="00612951" w:rsidP="00EC7082">
      <w:pPr>
        <w:pStyle w:val="SingleTxtG"/>
        <w:numPr>
          <w:ilvl w:val="0"/>
          <w:numId w:val="28"/>
        </w:numPr>
        <w:tabs>
          <w:tab w:val="clear" w:pos="1701"/>
          <w:tab w:val="clear" w:pos="2268"/>
          <w:tab w:val="clear" w:pos="2835"/>
        </w:tabs>
        <w:ind w:left="1134" w:firstLine="0"/>
      </w:pPr>
      <w:r w:rsidRPr="005266C6">
        <w:t>The</w:t>
      </w:r>
      <w:r>
        <w:t xml:space="preserve"> Committee</w:t>
      </w:r>
      <w:r w:rsidR="004565C0">
        <w:t xml:space="preserve"> notes with concern the add</w:t>
      </w:r>
      <w:r w:rsidR="00FE3F9E">
        <w:t xml:space="preserve">itional </w:t>
      </w:r>
      <w:r w:rsidR="004565C0">
        <w:t xml:space="preserve">difficulties experienced by persons with disabilities due to measures taken to contain the spread of the </w:t>
      </w:r>
      <w:r w:rsidR="00B477BB">
        <w:t>COVID-19</w:t>
      </w:r>
      <w:r w:rsidR="00A15268">
        <w:t>, such as the lack of access to services</w:t>
      </w:r>
      <w:r w:rsidR="003E7CF7">
        <w:t xml:space="preserve"> and</w:t>
      </w:r>
      <w:r w:rsidR="00537B18">
        <w:t xml:space="preserve"> isolation</w:t>
      </w:r>
      <w:r w:rsidR="00213118">
        <w:t xml:space="preserve"> (art. 2(2))</w:t>
      </w:r>
      <w:r w:rsidR="007F185D">
        <w:t>.</w:t>
      </w:r>
    </w:p>
    <w:p w14:paraId="6A3D6514" w14:textId="04DB7A57" w:rsidR="00C62B3F" w:rsidRPr="00C62B3F" w:rsidRDefault="004565C0" w:rsidP="00EC7082">
      <w:pPr>
        <w:pStyle w:val="SingleTxtG"/>
        <w:numPr>
          <w:ilvl w:val="0"/>
          <w:numId w:val="28"/>
        </w:numPr>
        <w:tabs>
          <w:tab w:val="clear" w:pos="1701"/>
          <w:tab w:val="clear" w:pos="2268"/>
          <w:tab w:val="clear" w:pos="2835"/>
        </w:tabs>
        <w:ind w:left="1134" w:firstLine="0"/>
      </w:pPr>
      <w:r>
        <w:rPr>
          <w:b/>
        </w:rPr>
        <w:t xml:space="preserve">While noting the statement by the State party that COVID-19 </w:t>
      </w:r>
      <w:r w:rsidR="003E6949">
        <w:rPr>
          <w:b/>
        </w:rPr>
        <w:t xml:space="preserve">response </w:t>
      </w:r>
      <w:r>
        <w:rPr>
          <w:b/>
        </w:rPr>
        <w:t xml:space="preserve">measures </w:t>
      </w:r>
      <w:r w:rsidR="000271F1">
        <w:rPr>
          <w:b/>
        </w:rPr>
        <w:t xml:space="preserve">equally </w:t>
      </w:r>
      <w:r>
        <w:rPr>
          <w:b/>
        </w:rPr>
        <w:t>apply to persons with disabilities, t</w:t>
      </w:r>
      <w:r w:rsidR="00612951" w:rsidRPr="0049226F">
        <w:rPr>
          <w:b/>
        </w:rPr>
        <w:t>he Committee</w:t>
      </w:r>
      <w:r>
        <w:rPr>
          <w:b/>
        </w:rPr>
        <w:t xml:space="preserve"> draws the attention of the State party at the differ</w:t>
      </w:r>
      <w:r w:rsidR="00AF68FF">
        <w:rPr>
          <w:b/>
        </w:rPr>
        <w:t>ing</w:t>
      </w:r>
      <w:r>
        <w:rPr>
          <w:b/>
        </w:rPr>
        <w:t xml:space="preserve"> </w:t>
      </w:r>
      <w:r w:rsidR="00AF68FF">
        <w:rPr>
          <w:b/>
        </w:rPr>
        <w:t>effect</w:t>
      </w:r>
      <w:r>
        <w:rPr>
          <w:b/>
        </w:rPr>
        <w:t xml:space="preserve"> </w:t>
      </w:r>
      <w:r w:rsidR="00FE3F9E">
        <w:rPr>
          <w:b/>
        </w:rPr>
        <w:t xml:space="preserve">of these measures </w:t>
      </w:r>
      <w:r>
        <w:rPr>
          <w:b/>
        </w:rPr>
        <w:t xml:space="preserve">due to disabilities. Thus, the Committee urges the State party to consult with organisations </w:t>
      </w:r>
      <w:r w:rsidR="00FE3F9E">
        <w:rPr>
          <w:b/>
        </w:rPr>
        <w:t xml:space="preserve">and </w:t>
      </w:r>
      <w:r>
        <w:rPr>
          <w:b/>
        </w:rPr>
        <w:t>representatives of persons with disabilities with a view to designing the most appropriate preventive measures.</w:t>
      </w:r>
      <w:r w:rsidR="007050B0">
        <w:rPr>
          <w:b/>
        </w:rPr>
        <w:t xml:space="preserve"> </w:t>
      </w:r>
    </w:p>
    <w:p w14:paraId="505B8F46" w14:textId="77777777" w:rsidR="00612951" w:rsidRDefault="00213118" w:rsidP="00C87981">
      <w:pPr>
        <w:pStyle w:val="H23G"/>
        <w:tabs>
          <w:tab w:val="clear" w:pos="851"/>
        </w:tabs>
        <w:ind w:firstLine="0"/>
      </w:pPr>
      <w:r>
        <w:t>Equal rights of men and women</w:t>
      </w:r>
    </w:p>
    <w:p w14:paraId="6394568E" w14:textId="21F9AB8A" w:rsidR="00612951" w:rsidRPr="005266C6" w:rsidRDefault="00612951" w:rsidP="00EC7082">
      <w:pPr>
        <w:pStyle w:val="SingleTxtG"/>
        <w:numPr>
          <w:ilvl w:val="0"/>
          <w:numId w:val="28"/>
        </w:numPr>
        <w:tabs>
          <w:tab w:val="clear" w:pos="1701"/>
          <w:tab w:val="clear" w:pos="2268"/>
          <w:tab w:val="clear" w:pos="2835"/>
        </w:tabs>
        <w:ind w:left="1134" w:firstLine="0"/>
      </w:pPr>
      <w:r>
        <w:t xml:space="preserve">The Committee is concerned at the </w:t>
      </w:r>
      <w:r w:rsidR="0018117E">
        <w:t>gender segregation in the labour market and in educational choices.</w:t>
      </w:r>
      <w:r w:rsidR="00213118">
        <w:t xml:space="preserve"> While noting that the State party’s social security system provides coverage for carers, it remains concerned that women continue to bear the primary responsibility for </w:t>
      </w:r>
      <w:r w:rsidR="00A15268">
        <w:t xml:space="preserve">unpaid </w:t>
      </w:r>
      <w:r w:rsidR="00213118">
        <w:t>care work</w:t>
      </w:r>
      <w:r w:rsidR="00367C28">
        <w:t xml:space="preserve"> </w:t>
      </w:r>
      <w:r w:rsidR="00537B18">
        <w:t>in the family</w:t>
      </w:r>
      <w:r w:rsidR="00A15268">
        <w:t xml:space="preserve"> </w:t>
      </w:r>
      <w:r w:rsidR="00213118">
        <w:t>and that uptake of parent</w:t>
      </w:r>
      <w:r w:rsidR="007F185D">
        <w:t xml:space="preserve">al leave among men remains low </w:t>
      </w:r>
      <w:r w:rsidR="00213118">
        <w:t>(art. 3)</w:t>
      </w:r>
      <w:r w:rsidR="007F185D">
        <w:t>.</w:t>
      </w:r>
    </w:p>
    <w:p w14:paraId="237EF757" w14:textId="196E1E6D" w:rsidR="003F1D74" w:rsidRDefault="00AA50F9" w:rsidP="00EC7082">
      <w:pPr>
        <w:pStyle w:val="SingleTxtG"/>
        <w:numPr>
          <w:ilvl w:val="0"/>
          <w:numId w:val="28"/>
        </w:numPr>
        <w:tabs>
          <w:tab w:val="clear" w:pos="1701"/>
          <w:tab w:val="clear" w:pos="2268"/>
          <w:tab w:val="clear" w:pos="2835"/>
        </w:tabs>
        <w:ind w:left="1134" w:firstLine="0"/>
        <w:rPr>
          <w:b/>
        </w:rPr>
      </w:pPr>
      <w:r>
        <w:rPr>
          <w:b/>
        </w:rPr>
        <w:t>The</w:t>
      </w:r>
      <w:r w:rsidR="0018117E">
        <w:rPr>
          <w:b/>
        </w:rPr>
        <w:t xml:space="preserve"> Committee recommends that the State party allocate adequate resources for the implementation of the recommendations of the research project </w:t>
      </w:r>
      <w:proofErr w:type="gramStart"/>
      <w:r w:rsidR="0018117E" w:rsidRPr="00F947E6">
        <w:rPr>
          <w:b/>
          <w:i/>
        </w:rPr>
        <w:t>Breaking</w:t>
      </w:r>
      <w:proofErr w:type="gramEnd"/>
      <w:r w:rsidR="0018117E" w:rsidRPr="00F947E6">
        <w:rPr>
          <w:b/>
          <w:i/>
        </w:rPr>
        <w:t xml:space="preserve"> down the barriers: Reasons for young people’s educational choice and ways of reducing gender segregation in educational and occupational fields (2017-2019). </w:t>
      </w:r>
      <w:r w:rsidR="0018117E">
        <w:rPr>
          <w:b/>
        </w:rPr>
        <w:t>The Committee also recommends that</w:t>
      </w:r>
      <w:r w:rsidR="003F1D74">
        <w:rPr>
          <w:b/>
        </w:rPr>
        <w:t>, in addition to “strategic desegregation” project and other projects planned under the Equal Pay Programme 2020-2023,</w:t>
      </w:r>
      <w:r w:rsidR="0089504C">
        <w:rPr>
          <w:b/>
        </w:rPr>
        <w:t xml:space="preserve"> </w:t>
      </w:r>
      <w:r w:rsidR="00BE0F75">
        <w:rPr>
          <w:b/>
        </w:rPr>
        <w:t>the State party</w:t>
      </w:r>
      <w:r w:rsidR="00FE3F9E">
        <w:rPr>
          <w:b/>
        </w:rPr>
        <w:t>:</w:t>
      </w:r>
      <w:r w:rsidR="00BE0F75">
        <w:rPr>
          <w:b/>
        </w:rPr>
        <w:t xml:space="preserve"> </w:t>
      </w:r>
    </w:p>
    <w:p w14:paraId="45B374D8" w14:textId="4BC7BD48" w:rsidR="003F1D74" w:rsidRPr="00C87981" w:rsidRDefault="003F1D74" w:rsidP="00C87981">
      <w:pPr>
        <w:pStyle w:val="SingleTxtG"/>
        <w:rPr>
          <w:b/>
        </w:rPr>
      </w:pPr>
      <w:r w:rsidRPr="00C87981">
        <w:rPr>
          <w:b/>
        </w:rPr>
        <w:lastRenderedPageBreak/>
        <w:tab/>
      </w:r>
      <w:r w:rsidR="0089504C" w:rsidRPr="00C87981">
        <w:rPr>
          <w:b/>
        </w:rPr>
        <w:t>(a)</w:t>
      </w:r>
      <w:r w:rsidR="00C87981">
        <w:rPr>
          <w:b/>
        </w:rPr>
        <w:tab/>
      </w:r>
      <w:r w:rsidR="00C87981" w:rsidRPr="00C87981">
        <w:rPr>
          <w:b/>
        </w:rPr>
        <w:t>Implement</w:t>
      </w:r>
      <w:r w:rsidR="00213118" w:rsidRPr="00C87981">
        <w:rPr>
          <w:b/>
        </w:rPr>
        <w:t xml:space="preserve"> temporary special measures in order to accelerate representation in educational and occupational fields where</w:t>
      </w:r>
      <w:r w:rsidR="0089504C" w:rsidRPr="00C87981">
        <w:rPr>
          <w:b/>
        </w:rPr>
        <w:t xml:space="preserve"> either sex </w:t>
      </w:r>
      <w:proofErr w:type="gramStart"/>
      <w:r w:rsidR="0089504C" w:rsidRPr="00C87981">
        <w:rPr>
          <w:b/>
        </w:rPr>
        <w:t>is under</w:t>
      </w:r>
      <w:r w:rsidR="00C87981">
        <w:rPr>
          <w:b/>
        </w:rPr>
        <w:t xml:space="preserve"> </w:t>
      </w:r>
      <w:r w:rsidR="0089504C" w:rsidRPr="00C87981">
        <w:rPr>
          <w:b/>
        </w:rPr>
        <w:t>represented</w:t>
      </w:r>
      <w:proofErr w:type="gramEnd"/>
      <w:r w:rsidR="0089504C" w:rsidRPr="00C87981">
        <w:rPr>
          <w:b/>
        </w:rPr>
        <w:t xml:space="preserve">; </w:t>
      </w:r>
    </w:p>
    <w:p w14:paraId="379AB2D9" w14:textId="0FB22E38" w:rsidR="003F1D74" w:rsidRPr="00C87981" w:rsidRDefault="003F1D74" w:rsidP="00C87981">
      <w:pPr>
        <w:pStyle w:val="SingleTxtG"/>
        <w:rPr>
          <w:b/>
        </w:rPr>
      </w:pPr>
      <w:r w:rsidRPr="00C87981">
        <w:rPr>
          <w:b/>
        </w:rPr>
        <w:tab/>
      </w:r>
      <w:r w:rsidR="00C87981">
        <w:rPr>
          <w:b/>
        </w:rPr>
        <w:t>(b)</w:t>
      </w:r>
      <w:r w:rsidR="00C87981">
        <w:rPr>
          <w:b/>
        </w:rPr>
        <w:tab/>
      </w:r>
      <w:r w:rsidR="00C87981" w:rsidRPr="00C87981">
        <w:rPr>
          <w:b/>
        </w:rPr>
        <w:t>Pursue</w:t>
      </w:r>
      <w:r w:rsidR="0089504C" w:rsidRPr="00C87981">
        <w:rPr>
          <w:b/>
        </w:rPr>
        <w:t xml:space="preserve"> awareness raising campaigns challenging stereotypical expectations of gender roles</w:t>
      </w:r>
      <w:proofErr w:type="gramStart"/>
      <w:r w:rsidR="0089504C" w:rsidRPr="00C87981">
        <w:rPr>
          <w:b/>
        </w:rPr>
        <w:t>;</w:t>
      </w:r>
      <w:proofErr w:type="gramEnd"/>
      <w:r w:rsidR="0089504C" w:rsidRPr="00C87981">
        <w:rPr>
          <w:b/>
        </w:rPr>
        <w:t xml:space="preserve"> </w:t>
      </w:r>
    </w:p>
    <w:p w14:paraId="64F55518" w14:textId="7C227A0A" w:rsidR="003F1D74" w:rsidRPr="00C87981" w:rsidRDefault="003F1D74" w:rsidP="00C87981">
      <w:pPr>
        <w:pStyle w:val="SingleTxtG"/>
        <w:rPr>
          <w:b/>
        </w:rPr>
      </w:pPr>
      <w:r w:rsidRPr="00C87981">
        <w:rPr>
          <w:b/>
        </w:rPr>
        <w:tab/>
      </w:r>
      <w:r w:rsidR="00C87981">
        <w:rPr>
          <w:b/>
        </w:rPr>
        <w:t>(c)</w:t>
      </w:r>
      <w:r w:rsidR="00C87981">
        <w:rPr>
          <w:b/>
        </w:rPr>
        <w:tab/>
      </w:r>
      <w:r w:rsidR="00C87981" w:rsidRPr="00C87981">
        <w:rPr>
          <w:b/>
        </w:rPr>
        <w:t>Implement</w:t>
      </w:r>
      <w:r w:rsidR="0089504C" w:rsidRPr="00C87981">
        <w:rPr>
          <w:b/>
        </w:rPr>
        <w:t xml:space="preserve"> measures to facilitate the return to work of carers</w:t>
      </w:r>
      <w:r w:rsidR="00537B18">
        <w:rPr>
          <w:b/>
        </w:rPr>
        <w:t xml:space="preserve"> for the family</w:t>
      </w:r>
      <w:r w:rsidR="0089504C" w:rsidRPr="00C87981">
        <w:rPr>
          <w:b/>
        </w:rPr>
        <w:t xml:space="preserve">, </w:t>
      </w:r>
      <w:r w:rsidR="00CE087B" w:rsidRPr="00C87981">
        <w:rPr>
          <w:b/>
        </w:rPr>
        <w:t xml:space="preserve">especially those who are </w:t>
      </w:r>
      <w:r w:rsidR="0089504C" w:rsidRPr="00C87981">
        <w:rPr>
          <w:b/>
        </w:rPr>
        <w:t>unemployed</w:t>
      </w:r>
      <w:proofErr w:type="gramStart"/>
      <w:r w:rsidR="0089504C" w:rsidRPr="00C87981">
        <w:rPr>
          <w:b/>
        </w:rPr>
        <w:t>;</w:t>
      </w:r>
      <w:proofErr w:type="gramEnd"/>
      <w:r w:rsidR="0089504C" w:rsidRPr="00C87981">
        <w:rPr>
          <w:b/>
        </w:rPr>
        <w:t xml:space="preserve"> </w:t>
      </w:r>
    </w:p>
    <w:p w14:paraId="17CDB61A" w14:textId="7F03E9AC" w:rsidR="003F1D74" w:rsidRPr="00C87981" w:rsidRDefault="003F1D74" w:rsidP="00C87981">
      <w:pPr>
        <w:pStyle w:val="SingleTxtG"/>
        <w:rPr>
          <w:b/>
        </w:rPr>
      </w:pPr>
      <w:r w:rsidRPr="00C87981">
        <w:rPr>
          <w:b/>
        </w:rPr>
        <w:tab/>
      </w:r>
      <w:r w:rsidR="00C87981">
        <w:rPr>
          <w:b/>
        </w:rPr>
        <w:t>(d)</w:t>
      </w:r>
      <w:r w:rsidR="00C87981">
        <w:rPr>
          <w:b/>
        </w:rPr>
        <w:tab/>
      </w:r>
      <w:r w:rsidR="00C87981" w:rsidRPr="00C87981">
        <w:rPr>
          <w:b/>
        </w:rPr>
        <w:t>Strengthen</w:t>
      </w:r>
      <w:r w:rsidR="00A62119" w:rsidRPr="00C87981">
        <w:rPr>
          <w:b/>
        </w:rPr>
        <w:t xml:space="preserve"> legal protection against </w:t>
      </w:r>
      <w:r w:rsidR="003927F6" w:rsidRPr="00C87981">
        <w:rPr>
          <w:b/>
        </w:rPr>
        <w:t xml:space="preserve">discrimination and </w:t>
      </w:r>
      <w:r w:rsidR="00A62119" w:rsidRPr="00C87981">
        <w:rPr>
          <w:b/>
        </w:rPr>
        <w:t>unfair dismissal f</w:t>
      </w:r>
      <w:r w:rsidR="00F72CE7" w:rsidRPr="00C87981">
        <w:rPr>
          <w:b/>
        </w:rPr>
        <w:t>rom work of pregnant workers</w:t>
      </w:r>
      <w:proofErr w:type="gramStart"/>
      <w:r w:rsidR="00F72CE7" w:rsidRPr="00C87981">
        <w:rPr>
          <w:b/>
        </w:rPr>
        <w:t>;</w:t>
      </w:r>
      <w:proofErr w:type="gramEnd"/>
      <w:r w:rsidR="00F72CE7" w:rsidRPr="00C87981">
        <w:rPr>
          <w:b/>
        </w:rPr>
        <w:t xml:space="preserve"> </w:t>
      </w:r>
    </w:p>
    <w:p w14:paraId="0BB260D1" w14:textId="0D1D6A53" w:rsidR="003F1D74" w:rsidRPr="00C87981" w:rsidRDefault="003F1D74" w:rsidP="00C87981">
      <w:pPr>
        <w:pStyle w:val="SingleTxtG"/>
        <w:rPr>
          <w:b/>
        </w:rPr>
      </w:pPr>
      <w:r w:rsidRPr="00C87981">
        <w:rPr>
          <w:b/>
        </w:rPr>
        <w:tab/>
      </w:r>
      <w:r w:rsidR="00F72CE7" w:rsidRPr="00C87981">
        <w:rPr>
          <w:b/>
        </w:rPr>
        <w:t>(e</w:t>
      </w:r>
      <w:r w:rsidR="00C87981">
        <w:rPr>
          <w:b/>
        </w:rPr>
        <w:t>)</w:t>
      </w:r>
      <w:r w:rsidR="00C87981">
        <w:rPr>
          <w:b/>
        </w:rPr>
        <w:tab/>
      </w:r>
      <w:r w:rsidR="00C87981" w:rsidRPr="00C87981">
        <w:rPr>
          <w:b/>
        </w:rPr>
        <w:t>Review</w:t>
      </w:r>
      <w:r w:rsidR="00A313CB" w:rsidRPr="00C87981">
        <w:rPr>
          <w:b/>
        </w:rPr>
        <w:t xml:space="preserve"> the parental leave system</w:t>
      </w:r>
      <w:r w:rsidR="00A62119" w:rsidRPr="00C87981">
        <w:rPr>
          <w:b/>
        </w:rPr>
        <w:t xml:space="preserve"> and</w:t>
      </w:r>
      <w:r w:rsidR="00BE0F75" w:rsidRPr="00C87981">
        <w:rPr>
          <w:b/>
        </w:rPr>
        <w:t xml:space="preserve"> </w:t>
      </w:r>
      <w:r w:rsidR="00A62119" w:rsidRPr="00C87981">
        <w:rPr>
          <w:b/>
        </w:rPr>
        <w:t xml:space="preserve">consider introducing non-transferable parental leave </w:t>
      </w:r>
      <w:r w:rsidR="00A62119" w:rsidRPr="00A64134">
        <w:rPr>
          <w:b/>
        </w:rPr>
        <w:t>for</w:t>
      </w:r>
      <w:r w:rsidR="00CD5524" w:rsidRPr="00A64134">
        <w:rPr>
          <w:b/>
        </w:rPr>
        <w:t xml:space="preserve"> either parent</w:t>
      </w:r>
      <w:r w:rsidR="00A64134">
        <w:rPr>
          <w:b/>
        </w:rPr>
        <w:t>, with a view to encouraging men to take up care responsibilities</w:t>
      </w:r>
      <w:r w:rsidR="00F72CE7" w:rsidRPr="00C87981">
        <w:rPr>
          <w:b/>
        </w:rPr>
        <w:t xml:space="preserve">; and </w:t>
      </w:r>
    </w:p>
    <w:p w14:paraId="4CC97587" w14:textId="567DB518" w:rsidR="00AA50F9" w:rsidRPr="00C87981" w:rsidRDefault="00FE3F9E" w:rsidP="00C87981">
      <w:pPr>
        <w:pStyle w:val="SingleTxtG"/>
        <w:rPr>
          <w:b/>
        </w:rPr>
      </w:pPr>
      <w:r w:rsidRPr="00C87981">
        <w:rPr>
          <w:b/>
        </w:rPr>
        <w:tab/>
      </w:r>
      <w:r w:rsidR="00C87981">
        <w:rPr>
          <w:b/>
        </w:rPr>
        <w:t>(f)</w:t>
      </w:r>
      <w:r w:rsidR="00C87981">
        <w:rPr>
          <w:b/>
        </w:rPr>
        <w:tab/>
      </w:r>
      <w:r w:rsidR="00C87981" w:rsidRPr="00C87981">
        <w:rPr>
          <w:b/>
        </w:rPr>
        <w:t>Mitigate</w:t>
      </w:r>
      <w:r w:rsidR="00CE087B" w:rsidRPr="00C87981">
        <w:rPr>
          <w:b/>
        </w:rPr>
        <w:t xml:space="preserve"> </w:t>
      </w:r>
      <w:r w:rsidR="00F72CE7" w:rsidRPr="00C87981">
        <w:rPr>
          <w:b/>
        </w:rPr>
        <w:t xml:space="preserve">the impact </w:t>
      </w:r>
      <w:r w:rsidR="00EC54EB" w:rsidRPr="00C87981">
        <w:rPr>
          <w:b/>
        </w:rPr>
        <w:t xml:space="preserve">of </w:t>
      </w:r>
      <w:r w:rsidR="00F72CE7" w:rsidRPr="00C87981">
        <w:rPr>
          <w:b/>
        </w:rPr>
        <w:t>care-related career interruptions on older women’s pension benefits</w:t>
      </w:r>
      <w:r w:rsidR="00A313CB" w:rsidRPr="00C87981">
        <w:rPr>
          <w:b/>
        </w:rPr>
        <w:t xml:space="preserve">. </w:t>
      </w:r>
    </w:p>
    <w:p w14:paraId="67AEA41E" w14:textId="77777777" w:rsidR="00480EF3" w:rsidRDefault="00480EF3" w:rsidP="00C87981">
      <w:pPr>
        <w:pStyle w:val="H23G"/>
        <w:tabs>
          <w:tab w:val="clear" w:pos="851"/>
        </w:tabs>
        <w:ind w:firstLine="0"/>
      </w:pPr>
      <w:r>
        <w:t xml:space="preserve">Gender </w:t>
      </w:r>
      <w:r w:rsidR="00A34F3E">
        <w:t>pay</w:t>
      </w:r>
      <w:r>
        <w:t xml:space="preserve"> gap</w:t>
      </w:r>
    </w:p>
    <w:p w14:paraId="31DAF834" w14:textId="03604AC6" w:rsidR="00480EF3" w:rsidRPr="005266C6" w:rsidRDefault="00480EF3" w:rsidP="00EC7082">
      <w:pPr>
        <w:pStyle w:val="SingleTxtG"/>
        <w:numPr>
          <w:ilvl w:val="0"/>
          <w:numId w:val="28"/>
        </w:numPr>
        <w:tabs>
          <w:tab w:val="clear" w:pos="1701"/>
          <w:tab w:val="clear" w:pos="2268"/>
          <w:tab w:val="clear" w:pos="2835"/>
        </w:tabs>
        <w:ind w:left="1134" w:firstLine="0"/>
      </w:pPr>
      <w:r>
        <w:t xml:space="preserve">The Committee is concerned at the slow pace at which the gender </w:t>
      </w:r>
      <w:r w:rsidR="00EC54EB">
        <w:t xml:space="preserve">pay </w:t>
      </w:r>
      <w:r>
        <w:t xml:space="preserve">gap is narrowing in the State party. It also </w:t>
      </w:r>
      <w:r w:rsidR="001059AC">
        <w:t>notes that while</w:t>
      </w:r>
      <w:r>
        <w:t xml:space="preserve"> the</w:t>
      </w:r>
      <w:r w:rsidR="001059AC">
        <w:t xml:space="preserve"> preparation of the</w:t>
      </w:r>
      <w:r>
        <w:t xml:space="preserve"> Equal Pay Programme</w:t>
      </w:r>
      <w:r w:rsidR="001059AC">
        <w:t xml:space="preserve"> has been completed, full implementation of the Programme </w:t>
      </w:r>
      <w:r w:rsidR="002579F0">
        <w:t xml:space="preserve">without binding measures, </w:t>
      </w:r>
      <w:r w:rsidR="001059AC">
        <w:t>will not significantly accelerate the reduction of the gender wage gap</w:t>
      </w:r>
      <w:r w:rsidR="000271F1">
        <w:t xml:space="preserve"> </w:t>
      </w:r>
      <w:r w:rsidR="00A34F3E">
        <w:t>(arts. 3 and 7)</w:t>
      </w:r>
      <w:r w:rsidR="004B575F">
        <w:t>.</w:t>
      </w:r>
    </w:p>
    <w:p w14:paraId="25C4C086" w14:textId="202145E8" w:rsidR="00BB3B3A" w:rsidRDefault="00480EF3" w:rsidP="00EC7082">
      <w:pPr>
        <w:pStyle w:val="SingleTxtG"/>
        <w:numPr>
          <w:ilvl w:val="0"/>
          <w:numId w:val="28"/>
        </w:numPr>
        <w:tabs>
          <w:tab w:val="clear" w:pos="1701"/>
          <w:tab w:val="clear" w:pos="2268"/>
          <w:tab w:val="clear" w:pos="2835"/>
        </w:tabs>
        <w:ind w:left="1134" w:firstLine="0"/>
        <w:rPr>
          <w:b/>
        </w:rPr>
      </w:pPr>
      <w:r>
        <w:rPr>
          <w:b/>
        </w:rPr>
        <w:t xml:space="preserve">The Committee recommends that the State party establish time-bound targets for </w:t>
      </w:r>
      <w:r w:rsidR="000271F1">
        <w:rPr>
          <w:b/>
        </w:rPr>
        <w:t xml:space="preserve">closing </w:t>
      </w:r>
      <w:r>
        <w:rPr>
          <w:b/>
        </w:rPr>
        <w:t xml:space="preserve">the gender </w:t>
      </w:r>
      <w:r w:rsidR="00CE087B">
        <w:rPr>
          <w:b/>
        </w:rPr>
        <w:t>pay</w:t>
      </w:r>
      <w:r>
        <w:rPr>
          <w:b/>
        </w:rPr>
        <w:t xml:space="preserve"> gap. It also recommends that the State party </w:t>
      </w:r>
    </w:p>
    <w:p w14:paraId="52F4679E" w14:textId="4DC59D4B" w:rsidR="00BB3B3A" w:rsidRDefault="00480EF3" w:rsidP="00B010A7">
      <w:pPr>
        <w:pStyle w:val="SingleTxtG"/>
        <w:tabs>
          <w:tab w:val="clear" w:pos="1701"/>
          <w:tab w:val="clear" w:pos="2268"/>
          <w:tab w:val="clear" w:pos="2835"/>
        </w:tabs>
        <w:ind w:firstLine="567"/>
        <w:rPr>
          <w:b/>
        </w:rPr>
      </w:pPr>
      <w:r>
        <w:rPr>
          <w:b/>
        </w:rPr>
        <w:t>(a)</w:t>
      </w:r>
      <w:r w:rsidR="00367C28">
        <w:rPr>
          <w:b/>
        </w:rPr>
        <w:tab/>
        <w:t>P</w:t>
      </w:r>
      <w:r>
        <w:rPr>
          <w:b/>
        </w:rPr>
        <w:t>ut into place an institutional mechanism for the promotion of equal pay and the monitoring of progress</w:t>
      </w:r>
      <w:proofErr w:type="gramStart"/>
      <w:r>
        <w:rPr>
          <w:b/>
        </w:rPr>
        <w:t>;</w:t>
      </w:r>
      <w:proofErr w:type="gramEnd"/>
      <w:r>
        <w:rPr>
          <w:b/>
        </w:rPr>
        <w:t xml:space="preserve"> </w:t>
      </w:r>
    </w:p>
    <w:p w14:paraId="70E5EFE1" w14:textId="31301A04" w:rsidR="00BB3B3A" w:rsidRDefault="00480EF3" w:rsidP="00B010A7">
      <w:pPr>
        <w:pStyle w:val="SingleTxtG"/>
        <w:tabs>
          <w:tab w:val="clear" w:pos="1701"/>
          <w:tab w:val="clear" w:pos="2268"/>
          <w:tab w:val="clear" w:pos="2835"/>
        </w:tabs>
        <w:ind w:firstLine="567"/>
        <w:rPr>
          <w:b/>
        </w:rPr>
      </w:pPr>
      <w:r>
        <w:rPr>
          <w:b/>
        </w:rPr>
        <w:t>(b)</w:t>
      </w:r>
      <w:r w:rsidR="00367C28">
        <w:rPr>
          <w:b/>
        </w:rPr>
        <w:tab/>
        <w:t>L</w:t>
      </w:r>
      <w:r>
        <w:rPr>
          <w:b/>
        </w:rPr>
        <w:t>egislate on remuneration transparency with a view to making it easier to challenge unequal pay</w:t>
      </w:r>
      <w:proofErr w:type="gramStart"/>
      <w:r>
        <w:rPr>
          <w:b/>
        </w:rPr>
        <w:t>;</w:t>
      </w:r>
      <w:proofErr w:type="gramEnd"/>
      <w:r>
        <w:rPr>
          <w:b/>
        </w:rPr>
        <w:t xml:space="preserve"> </w:t>
      </w:r>
    </w:p>
    <w:p w14:paraId="329C4F38" w14:textId="1D62E824" w:rsidR="00BB3B3A" w:rsidRDefault="00480EF3" w:rsidP="00B010A7">
      <w:pPr>
        <w:pStyle w:val="SingleTxtG"/>
        <w:tabs>
          <w:tab w:val="clear" w:pos="1701"/>
          <w:tab w:val="clear" w:pos="2268"/>
          <w:tab w:val="clear" w:pos="2835"/>
        </w:tabs>
        <w:ind w:firstLine="567"/>
        <w:rPr>
          <w:b/>
        </w:rPr>
      </w:pPr>
      <w:r>
        <w:rPr>
          <w:b/>
        </w:rPr>
        <w:t>(c)</w:t>
      </w:r>
      <w:r w:rsidR="00367C28">
        <w:rPr>
          <w:b/>
        </w:rPr>
        <w:tab/>
        <w:t>C</w:t>
      </w:r>
      <w:r>
        <w:rPr>
          <w:b/>
        </w:rPr>
        <w:t>onduct surveys of rates of remuneration across organisations, enterprises and professions with a view to identifying under-remunerated functions and re-evaluating applicable rates</w:t>
      </w:r>
      <w:r w:rsidR="00CE087B">
        <w:rPr>
          <w:b/>
        </w:rPr>
        <w:t xml:space="preserve">; </w:t>
      </w:r>
      <w:r w:rsidR="00F947E6">
        <w:rPr>
          <w:b/>
        </w:rPr>
        <w:t xml:space="preserve">and </w:t>
      </w:r>
    </w:p>
    <w:p w14:paraId="3D00931F" w14:textId="76707B00" w:rsidR="00BB3B3A" w:rsidRDefault="00CE087B" w:rsidP="00B010A7">
      <w:pPr>
        <w:pStyle w:val="SingleTxtG"/>
        <w:tabs>
          <w:tab w:val="clear" w:pos="1701"/>
          <w:tab w:val="clear" w:pos="2268"/>
          <w:tab w:val="clear" w:pos="2835"/>
        </w:tabs>
        <w:ind w:firstLine="567"/>
        <w:rPr>
          <w:b/>
        </w:rPr>
      </w:pPr>
      <w:r>
        <w:rPr>
          <w:b/>
        </w:rPr>
        <w:t>(d)</w:t>
      </w:r>
      <w:r w:rsidR="00367C28">
        <w:rPr>
          <w:b/>
        </w:rPr>
        <w:tab/>
        <w:t xml:space="preserve">Address </w:t>
      </w:r>
      <w:r>
        <w:rPr>
          <w:b/>
        </w:rPr>
        <w:t>other root causes of gender pay gap, such as women’s overrepresentation in temporary employment</w:t>
      </w:r>
      <w:r w:rsidR="00480EF3">
        <w:rPr>
          <w:b/>
        </w:rPr>
        <w:t xml:space="preserve">. </w:t>
      </w:r>
    </w:p>
    <w:p w14:paraId="3870AC8C" w14:textId="08D3B62D" w:rsidR="00480EF3" w:rsidRDefault="00480EF3" w:rsidP="00B010A7">
      <w:pPr>
        <w:pStyle w:val="SingleTxtG"/>
        <w:numPr>
          <w:ilvl w:val="0"/>
          <w:numId w:val="28"/>
        </w:numPr>
        <w:tabs>
          <w:tab w:val="clear" w:pos="1701"/>
          <w:tab w:val="clear" w:pos="2268"/>
          <w:tab w:val="clear" w:pos="2835"/>
        </w:tabs>
        <w:ind w:left="1134" w:firstLine="0"/>
        <w:rPr>
          <w:b/>
        </w:rPr>
      </w:pPr>
      <w:r>
        <w:rPr>
          <w:b/>
        </w:rPr>
        <w:t>In this regard, the Committee refers the State party to paragraphs 11 to 17 of general comment No. 23 (2016) on the right to just and favourable conditions</w:t>
      </w:r>
      <w:r w:rsidR="00EC54EB">
        <w:rPr>
          <w:b/>
        </w:rPr>
        <w:t xml:space="preserve"> of work</w:t>
      </w:r>
      <w:r>
        <w:rPr>
          <w:b/>
        </w:rPr>
        <w:t>.</w:t>
      </w:r>
    </w:p>
    <w:p w14:paraId="55983F8A" w14:textId="77777777" w:rsidR="00551A1E" w:rsidRDefault="00F72CE7" w:rsidP="00C87981">
      <w:pPr>
        <w:pStyle w:val="H23G"/>
        <w:tabs>
          <w:tab w:val="clear" w:pos="851"/>
        </w:tabs>
        <w:ind w:firstLine="0"/>
      </w:pPr>
      <w:r>
        <w:t>Unemployment</w:t>
      </w:r>
    </w:p>
    <w:p w14:paraId="4CCA7250" w14:textId="542BAB9B" w:rsidR="00551A1E" w:rsidRPr="005266C6" w:rsidRDefault="00052E80" w:rsidP="00EC7082">
      <w:pPr>
        <w:pStyle w:val="SingleTxtG"/>
        <w:numPr>
          <w:ilvl w:val="0"/>
          <w:numId w:val="28"/>
        </w:numPr>
        <w:tabs>
          <w:tab w:val="clear" w:pos="1701"/>
          <w:tab w:val="clear" w:pos="2268"/>
          <w:tab w:val="clear" w:pos="2835"/>
        </w:tabs>
        <w:ind w:left="1134" w:firstLine="0"/>
      </w:pPr>
      <w:r>
        <w:t xml:space="preserve">While welcoming measures such as the </w:t>
      </w:r>
      <w:r w:rsidR="00142424">
        <w:t xml:space="preserve">Youth Guarantee Programme, </w:t>
      </w:r>
      <w:r>
        <w:t>improvement of existing apprenticeship model and others implemented pursuant to the Youth Act, t</w:t>
      </w:r>
      <w:r w:rsidR="00551A1E">
        <w:t xml:space="preserve">he Committee is concerned </w:t>
      </w:r>
      <w:r w:rsidR="00142424">
        <w:t>that young people</w:t>
      </w:r>
      <w:r w:rsidR="00F72CE7">
        <w:t xml:space="preserve"> </w:t>
      </w:r>
      <w:proofErr w:type="gramStart"/>
      <w:r w:rsidR="00142424">
        <w:t>experience difficulties</w:t>
      </w:r>
      <w:proofErr w:type="gramEnd"/>
      <w:r w:rsidR="00142424">
        <w:t xml:space="preserve"> in securing stable and decent </w:t>
      </w:r>
      <w:r w:rsidR="00F72CE7">
        <w:t xml:space="preserve">employment. Moreover, the Committee is concerned at the loss of jobs due to the COVID-19 crisis, especially among groups that </w:t>
      </w:r>
      <w:proofErr w:type="gramStart"/>
      <w:r w:rsidR="00F72CE7">
        <w:t>have traditionally been affected</w:t>
      </w:r>
      <w:proofErr w:type="gramEnd"/>
      <w:r w:rsidR="00F72CE7">
        <w:t xml:space="preserve"> by unemployment</w:t>
      </w:r>
      <w:r w:rsidR="00C3313B">
        <w:t xml:space="preserve"> such as</w:t>
      </w:r>
      <w:r w:rsidR="00F72CE7">
        <w:t xml:space="preserve"> young people, persons wit</w:t>
      </w:r>
      <w:r w:rsidR="00480EF3">
        <w:t xml:space="preserve">h disabilities, those that </w:t>
      </w:r>
      <w:r w:rsidR="00925DFE">
        <w:t xml:space="preserve">are </w:t>
      </w:r>
      <w:r w:rsidR="00480EF3">
        <w:t xml:space="preserve">over </w:t>
      </w:r>
      <w:r w:rsidR="00F72CE7">
        <w:t xml:space="preserve">50 </w:t>
      </w:r>
      <w:r w:rsidR="00BB5AF6">
        <w:t>years old as well as</w:t>
      </w:r>
      <w:r w:rsidR="00F72CE7">
        <w:t xml:space="preserve"> </w:t>
      </w:r>
      <w:r w:rsidR="004B575F">
        <w:t>women with migration background</w:t>
      </w:r>
      <w:r w:rsidR="00F72CE7">
        <w:t xml:space="preserve"> </w:t>
      </w:r>
      <w:r w:rsidR="002939D1">
        <w:t>(art</w:t>
      </w:r>
      <w:r w:rsidR="00F12340">
        <w:t>. 6</w:t>
      </w:r>
      <w:r w:rsidR="002939D1">
        <w:t>)</w:t>
      </w:r>
      <w:r w:rsidR="004B575F">
        <w:t>.</w:t>
      </w:r>
    </w:p>
    <w:p w14:paraId="0D905775" w14:textId="28106AC2" w:rsidR="00551A1E" w:rsidRDefault="00551A1E" w:rsidP="00EC7082">
      <w:pPr>
        <w:pStyle w:val="SingleTxtG"/>
        <w:numPr>
          <w:ilvl w:val="0"/>
          <w:numId w:val="28"/>
        </w:numPr>
        <w:tabs>
          <w:tab w:val="clear" w:pos="1701"/>
          <w:tab w:val="clear" w:pos="2268"/>
          <w:tab w:val="clear" w:pos="2835"/>
        </w:tabs>
        <w:ind w:left="1134" w:firstLine="0"/>
        <w:rPr>
          <w:b/>
        </w:rPr>
      </w:pPr>
      <w:r>
        <w:rPr>
          <w:b/>
        </w:rPr>
        <w:t>The</w:t>
      </w:r>
      <w:r w:rsidR="00960554">
        <w:rPr>
          <w:b/>
        </w:rPr>
        <w:t xml:space="preserve"> </w:t>
      </w:r>
      <w:r w:rsidR="008F0FAC">
        <w:rPr>
          <w:b/>
        </w:rPr>
        <w:t>Committee recommends that the State party strengthen specialized services</w:t>
      </w:r>
      <w:r w:rsidR="00052E80">
        <w:rPr>
          <w:b/>
        </w:rPr>
        <w:t xml:space="preserve">, such as the One Stop Guidance </w:t>
      </w:r>
      <w:proofErr w:type="spellStart"/>
      <w:r w:rsidR="00052E80">
        <w:rPr>
          <w:b/>
        </w:rPr>
        <w:t>Centers</w:t>
      </w:r>
      <w:proofErr w:type="spellEnd"/>
      <w:r w:rsidR="00052E80">
        <w:rPr>
          <w:b/>
        </w:rPr>
        <w:t>,</w:t>
      </w:r>
      <w:r w:rsidR="008F0FAC">
        <w:rPr>
          <w:b/>
        </w:rPr>
        <w:t xml:space="preserve"> to assist and support jobseekers in order to enable them to identify and find available employment</w:t>
      </w:r>
      <w:r w:rsidR="00A96D3B">
        <w:rPr>
          <w:b/>
        </w:rPr>
        <w:t>, especially in the context of fewer labour opportunities due to the COVID-19 crisis</w:t>
      </w:r>
      <w:r w:rsidR="008F0FAC">
        <w:rPr>
          <w:b/>
        </w:rPr>
        <w:t xml:space="preserve">. The Committee also recommends that the State party monitor </w:t>
      </w:r>
      <w:r w:rsidR="002939D1">
        <w:rPr>
          <w:b/>
        </w:rPr>
        <w:t xml:space="preserve">the implementation of </w:t>
      </w:r>
      <w:r w:rsidR="00480EF3">
        <w:rPr>
          <w:b/>
        </w:rPr>
        <w:t xml:space="preserve">temporary adjustments to the labour legislation in response to the COVID-19 pandemic </w:t>
      </w:r>
      <w:r w:rsidR="002939D1">
        <w:rPr>
          <w:b/>
        </w:rPr>
        <w:t xml:space="preserve">to prevent abuse by employers and to ensure that </w:t>
      </w:r>
      <w:r w:rsidR="00052E80">
        <w:rPr>
          <w:b/>
        </w:rPr>
        <w:t xml:space="preserve">employment </w:t>
      </w:r>
      <w:r w:rsidR="002939D1">
        <w:rPr>
          <w:b/>
        </w:rPr>
        <w:t>contracts that have been temporarily suspended are effectively reinstated</w:t>
      </w:r>
      <w:r w:rsidR="00480EF3">
        <w:rPr>
          <w:b/>
        </w:rPr>
        <w:t xml:space="preserve"> as soon as conditions so permit</w:t>
      </w:r>
      <w:r w:rsidR="00960554">
        <w:rPr>
          <w:b/>
        </w:rPr>
        <w:t>.</w:t>
      </w:r>
      <w:r w:rsidR="00367C28">
        <w:rPr>
          <w:b/>
        </w:rPr>
        <w:t xml:space="preserve"> </w:t>
      </w:r>
    </w:p>
    <w:p w14:paraId="7577E8A9" w14:textId="5FD22046" w:rsidR="00551A1E" w:rsidRDefault="00551A1E" w:rsidP="00C87981">
      <w:pPr>
        <w:pStyle w:val="H23G"/>
        <w:tabs>
          <w:tab w:val="clear" w:pos="851"/>
        </w:tabs>
        <w:ind w:firstLine="0"/>
      </w:pPr>
      <w:r>
        <w:lastRenderedPageBreak/>
        <w:t xml:space="preserve">Conditions of work </w:t>
      </w:r>
    </w:p>
    <w:p w14:paraId="14258E56" w14:textId="669E7F78" w:rsidR="00551A1E" w:rsidRPr="005266C6" w:rsidRDefault="000A59A5" w:rsidP="00EC7082">
      <w:pPr>
        <w:pStyle w:val="SingleTxtG"/>
        <w:numPr>
          <w:ilvl w:val="0"/>
          <w:numId w:val="28"/>
        </w:numPr>
        <w:tabs>
          <w:tab w:val="clear" w:pos="1701"/>
          <w:tab w:val="clear" w:pos="2268"/>
          <w:tab w:val="clear" w:pos="2835"/>
        </w:tabs>
        <w:ind w:left="1134" w:firstLine="0"/>
      </w:pPr>
      <w:r>
        <w:t xml:space="preserve">The Committee notes with concern reports </w:t>
      </w:r>
      <w:r w:rsidR="00C01A4B">
        <w:t>that</w:t>
      </w:r>
      <w:r>
        <w:t xml:space="preserve"> provisions on minimum pay in collective agreements</w:t>
      </w:r>
      <w:r w:rsidR="00C01A4B">
        <w:t xml:space="preserve"> </w:t>
      </w:r>
      <w:proofErr w:type="gramStart"/>
      <w:r w:rsidR="00C01A4B">
        <w:t>are not always respected</w:t>
      </w:r>
      <w:proofErr w:type="gramEnd"/>
      <w:r w:rsidR="00213118">
        <w:t>, especially for migrant workers</w:t>
      </w:r>
      <w:r>
        <w:t xml:space="preserve">. The Committee is also concerned at </w:t>
      </w:r>
      <w:r w:rsidR="00C01A4B">
        <w:t>the lack of legal protection of the labour rights of</w:t>
      </w:r>
      <w:r w:rsidR="002028A1">
        <w:t xml:space="preserve"> seasonal workers in the agricultural sector, such as</w:t>
      </w:r>
      <w:r w:rsidR="00C01A4B">
        <w:t xml:space="preserve"> </w:t>
      </w:r>
      <w:r w:rsidR="00551A1E">
        <w:t>wild berry pickers</w:t>
      </w:r>
      <w:r w:rsidR="002028A1">
        <w:t>,</w:t>
      </w:r>
      <w:r w:rsidR="00213118">
        <w:t xml:space="preserve"> who </w:t>
      </w:r>
      <w:r w:rsidR="00A91ECD">
        <w:t>are often employed</w:t>
      </w:r>
      <w:r w:rsidR="00213118">
        <w:t xml:space="preserve"> without a contract</w:t>
      </w:r>
      <w:r w:rsidR="008A6B1E">
        <w:t xml:space="preserve"> and</w:t>
      </w:r>
      <w:r w:rsidR="00124B3F">
        <w:t xml:space="preserve"> thus</w:t>
      </w:r>
      <w:r w:rsidR="008A6B1E">
        <w:t xml:space="preserve"> vulnerable to exploitation</w:t>
      </w:r>
      <w:r w:rsidR="004B575F">
        <w:t xml:space="preserve"> </w:t>
      </w:r>
      <w:r w:rsidR="008F0FAC">
        <w:t>(art. 7)</w:t>
      </w:r>
      <w:r w:rsidR="004B575F">
        <w:t>.</w:t>
      </w:r>
    </w:p>
    <w:p w14:paraId="7FD2454A" w14:textId="18DC500C" w:rsidR="00551A1E" w:rsidRDefault="00551A1E" w:rsidP="00EC7082">
      <w:pPr>
        <w:pStyle w:val="SingleTxtG"/>
        <w:numPr>
          <w:ilvl w:val="0"/>
          <w:numId w:val="28"/>
        </w:numPr>
        <w:tabs>
          <w:tab w:val="clear" w:pos="1701"/>
          <w:tab w:val="clear" w:pos="2268"/>
          <w:tab w:val="clear" w:pos="2835"/>
        </w:tabs>
        <w:ind w:left="1134" w:firstLine="0"/>
        <w:rPr>
          <w:b/>
        </w:rPr>
      </w:pPr>
      <w:r>
        <w:rPr>
          <w:b/>
        </w:rPr>
        <w:t>The</w:t>
      </w:r>
      <w:r w:rsidR="00C01A4B">
        <w:rPr>
          <w:b/>
        </w:rPr>
        <w:t xml:space="preserve"> Committee recommends that the State party investigate reports of breach of </w:t>
      </w:r>
      <w:r w:rsidR="00C01A4B" w:rsidRPr="00EC7082">
        <w:t>provisions</w:t>
      </w:r>
      <w:r w:rsidR="00C01A4B">
        <w:rPr>
          <w:b/>
        </w:rPr>
        <w:t xml:space="preserve"> on remuneration in collective agreements and increase labour inspection in sectors of the economy where such violations are likely to occur. It</w:t>
      </w:r>
      <w:r w:rsidR="00102061">
        <w:rPr>
          <w:b/>
        </w:rPr>
        <w:t xml:space="preserve"> also recommends that the State party improve complaints mechanisms in these sectors to make them easily accessible</w:t>
      </w:r>
      <w:r w:rsidR="003F1D74">
        <w:rPr>
          <w:b/>
        </w:rPr>
        <w:t>, assist victims in obtaining redress,</w:t>
      </w:r>
      <w:r w:rsidR="00102061">
        <w:rPr>
          <w:b/>
        </w:rPr>
        <w:t xml:space="preserve"> and </w:t>
      </w:r>
      <w:r w:rsidR="005A0F60">
        <w:rPr>
          <w:b/>
        </w:rPr>
        <w:t xml:space="preserve">ensure </w:t>
      </w:r>
      <w:r w:rsidR="0019491A">
        <w:rPr>
          <w:b/>
        </w:rPr>
        <w:t xml:space="preserve">that </w:t>
      </w:r>
      <w:r w:rsidR="005A0F60">
        <w:rPr>
          <w:b/>
        </w:rPr>
        <w:t xml:space="preserve">contravening </w:t>
      </w:r>
      <w:r w:rsidR="003F1D74">
        <w:rPr>
          <w:b/>
        </w:rPr>
        <w:t>employers</w:t>
      </w:r>
      <w:r w:rsidR="00102061">
        <w:rPr>
          <w:b/>
        </w:rPr>
        <w:t xml:space="preserve">, even when they </w:t>
      </w:r>
      <w:proofErr w:type="gramStart"/>
      <w:r w:rsidR="00102061">
        <w:rPr>
          <w:b/>
        </w:rPr>
        <w:t>are based</w:t>
      </w:r>
      <w:proofErr w:type="gramEnd"/>
      <w:r w:rsidR="00102061">
        <w:rPr>
          <w:b/>
        </w:rPr>
        <w:t xml:space="preserve"> abroad, </w:t>
      </w:r>
      <w:r w:rsidR="005A0F60">
        <w:rPr>
          <w:b/>
        </w:rPr>
        <w:t xml:space="preserve">are </w:t>
      </w:r>
      <w:r w:rsidR="0019491A">
        <w:rPr>
          <w:b/>
        </w:rPr>
        <w:t>subject</w:t>
      </w:r>
      <w:r w:rsidR="005A0F60">
        <w:rPr>
          <w:b/>
        </w:rPr>
        <w:t xml:space="preserve"> to sanctions</w:t>
      </w:r>
      <w:r w:rsidR="00102061">
        <w:rPr>
          <w:b/>
        </w:rPr>
        <w:t>. Moreover, it</w:t>
      </w:r>
      <w:r w:rsidR="00367C28">
        <w:rPr>
          <w:b/>
        </w:rPr>
        <w:t xml:space="preserve"> </w:t>
      </w:r>
      <w:r w:rsidR="00C01A4B">
        <w:rPr>
          <w:b/>
        </w:rPr>
        <w:t xml:space="preserve">recommends that the State party extend the coverage of labour </w:t>
      </w:r>
      <w:r w:rsidR="00102061">
        <w:rPr>
          <w:b/>
        </w:rPr>
        <w:t xml:space="preserve">and social security </w:t>
      </w:r>
      <w:r w:rsidR="00C01A4B">
        <w:rPr>
          <w:b/>
        </w:rPr>
        <w:t>legislation to</w:t>
      </w:r>
      <w:r w:rsidR="002028A1">
        <w:rPr>
          <w:b/>
        </w:rPr>
        <w:t xml:space="preserve"> seasonal workers</w:t>
      </w:r>
      <w:r w:rsidR="008A6B1E">
        <w:rPr>
          <w:b/>
        </w:rPr>
        <w:t>, including those</w:t>
      </w:r>
      <w:r w:rsidR="002028A1">
        <w:rPr>
          <w:b/>
        </w:rPr>
        <w:t xml:space="preserve"> in the agricultural sector</w:t>
      </w:r>
      <w:r w:rsidR="00C01A4B">
        <w:rPr>
          <w:b/>
        </w:rPr>
        <w:t xml:space="preserve">, ensuring among others </w:t>
      </w:r>
      <w:r w:rsidR="00102061">
        <w:rPr>
          <w:b/>
        </w:rPr>
        <w:t xml:space="preserve">that they receive fair wages, reflecting their conditions of work. </w:t>
      </w:r>
      <w:r w:rsidR="00A91ECD">
        <w:rPr>
          <w:b/>
        </w:rPr>
        <w:t>In this regard, the Committee refers the State party to paragraph 47 of general comment No. 23 (2017) on the right to just and favourable conditions of work.</w:t>
      </w:r>
    </w:p>
    <w:p w14:paraId="40B93619" w14:textId="77777777" w:rsidR="008E335F" w:rsidRDefault="008E335F" w:rsidP="00C87981">
      <w:pPr>
        <w:pStyle w:val="H23G"/>
        <w:tabs>
          <w:tab w:val="clear" w:pos="851"/>
        </w:tabs>
        <w:ind w:firstLine="0"/>
      </w:pPr>
      <w:r>
        <w:t>Right to social security</w:t>
      </w:r>
    </w:p>
    <w:p w14:paraId="1C5D2DA2" w14:textId="5A1BB290" w:rsidR="008E335F" w:rsidRPr="005266C6" w:rsidRDefault="008E335F" w:rsidP="00EC7082">
      <w:pPr>
        <w:pStyle w:val="SingleTxtG"/>
        <w:numPr>
          <w:ilvl w:val="0"/>
          <w:numId w:val="28"/>
        </w:numPr>
        <w:tabs>
          <w:tab w:val="clear" w:pos="1701"/>
          <w:tab w:val="clear" w:pos="2268"/>
          <w:tab w:val="clear" w:pos="2835"/>
        </w:tabs>
        <w:ind w:left="1134" w:firstLine="0"/>
      </w:pPr>
      <w:r>
        <w:t xml:space="preserve">While noting the information from the State party that the amounts of several social security benefits have been increased, the Committee nonetheless is concerned </w:t>
      </w:r>
      <w:r w:rsidR="00CE087B">
        <w:t xml:space="preserve">that </w:t>
      </w:r>
      <w:r>
        <w:t>cuts in benefits and the freeze on the index during the 2015-201</w:t>
      </w:r>
      <w:r w:rsidR="007049BE">
        <w:t>9</w:t>
      </w:r>
      <w:r>
        <w:t xml:space="preserve"> </w:t>
      </w:r>
      <w:r w:rsidR="007049BE">
        <w:t xml:space="preserve">parliamentary term </w:t>
      </w:r>
      <w:r>
        <w:t>rendered these benefits inadequate and disproportionately affected groups that</w:t>
      </w:r>
      <w:r w:rsidR="004B575F">
        <w:t xml:space="preserve"> had already been disadvantaged</w:t>
      </w:r>
      <w:r w:rsidR="007A4F8E">
        <w:t xml:space="preserve"> (art. 9)</w:t>
      </w:r>
      <w:r w:rsidR="004B575F">
        <w:t>.</w:t>
      </w:r>
    </w:p>
    <w:p w14:paraId="39C79498" w14:textId="56F79F58" w:rsidR="00206A7D" w:rsidRDefault="008E335F" w:rsidP="00EC7082">
      <w:pPr>
        <w:pStyle w:val="SingleTxtG"/>
        <w:numPr>
          <w:ilvl w:val="0"/>
          <w:numId w:val="28"/>
        </w:numPr>
        <w:tabs>
          <w:tab w:val="clear" w:pos="1701"/>
          <w:tab w:val="clear" w:pos="2268"/>
          <w:tab w:val="clear" w:pos="2835"/>
        </w:tabs>
        <w:ind w:left="1134" w:firstLine="0"/>
        <w:rPr>
          <w:b/>
        </w:rPr>
      </w:pPr>
      <w:r>
        <w:rPr>
          <w:b/>
        </w:rPr>
        <w:t>The Committee urges the State party to include in the reform of the Social Security Act safeguards to ensure that social benefits remain adequate and that</w:t>
      </w:r>
      <w:r w:rsidR="000A59A5">
        <w:rPr>
          <w:b/>
        </w:rPr>
        <w:t xml:space="preserve"> such </w:t>
      </w:r>
      <w:r>
        <w:rPr>
          <w:b/>
        </w:rPr>
        <w:t>cuts</w:t>
      </w:r>
      <w:r w:rsidR="000A59A5">
        <w:rPr>
          <w:b/>
        </w:rPr>
        <w:t xml:space="preserve"> contemplated, including in the context of austerity measures</w:t>
      </w:r>
      <w:r w:rsidR="00367C28">
        <w:rPr>
          <w:b/>
        </w:rPr>
        <w:t xml:space="preserve"> :</w:t>
      </w:r>
    </w:p>
    <w:p w14:paraId="7ABD5368" w14:textId="74A8DBA4" w:rsidR="00206A7D" w:rsidRDefault="000A59A5" w:rsidP="00B010A7">
      <w:pPr>
        <w:pStyle w:val="SingleTxtG"/>
        <w:tabs>
          <w:tab w:val="clear" w:pos="1701"/>
          <w:tab w:val="clear" w:pos="2268"/>
          <w:tab w:val="clear" w:pos="2835"/>
        </w:tabs>
        <w:ind w:firstLine="567"/>
        <w:rPr>
          <w:b/>
        </w:rPr>
      </w:pPr>
      <w:r>
        <w:rPr>
          <w:b/>
        </w:rPr>
        <w:t>(a)</w:t>
      </w:r>
      <w:r w:rsidR="00367C28">
        <w:rPr>
          <w:b/>
        </w:rPr>
        <w:tab/>
        <w:t>A</w:t>
      </w:r>
      <w:r>
        <w:rPr>
          <w:b/>
        </w:rPr>
        <w:t xml:space="preserve">re temporary, covering only the period of crisis; </w:t>
      </w:r>
    </w:p>
    <w:p w14:paraId="5F02AF35" w14:textId="0CFF1945" w:rsidR="00206A7D" w:rsidRDefault="000A59A5" w:rsidP="00B010A7">
      <w:pPr>
        <w:pStyle w:val="SingleTxtG"/>
        <w:tabs>
          <w:tab w:val="clear" w:pos="1701"/>
          <w:tab w:val="clear" w:pos="2268"/>
          <w:tab w:val="clear" w:pos="2835"/>
        </w:tabs>
        <w:ind w:firstLine="567"/>
        <w:rPr>
          <w:b/>
        </w:rPr>
      </w:pPr>
      <w:r>
        <w:rPr>
          <w:b/>
        </w:rPr>
        <w:t>(b)</w:t>
      </w:r>
      <w:r w:rsidR="00367C28">
        <w:rPr>
          <w:b/>
        </w:rPr>
        <w:tab/>
        <w:t>A</w:t>
      </w:r>
      <w:r>
        <w:rPr>
          <w:b/>
        </w:rPr>
        <w:t xml:space="preserve">re necessary and proportionate, in the sense that the adoption of any other policy, or a failure to act, would be more detrimental to economic, social and cultural rights; </w:t>
      </w:r>
    </w:p>
    <w:p w14:paraId="565786A6" w14:textId="317914C1" w:rsidR="00206A7D" w:rsidRDefault="000A59A5" w:rsidP="00B010A7">
      <w:pPr>
        <w:pStyle w:val="SingleTxtG"/>
        <w:tabs>
          <w:tab w:val="clear" w:pos="1701"/>
          <w:tab w:val="clear" w:pos="2268"/>
          <w:tab w:val="clear" w:pos="2835"/>
        </w:tabs>
        <w:ind w:firstLine="567"/>
        <w:rPr>
          <w:b/>
        </w:rPr>
      </w:pPr>
      <w:r>
        <w:rPr>
          <w:b/>
        </w:rPr>
        <w:t>(c)</w:t>
      </w:r>
      <w:r w:rsidR="00367C28">
        <w:rPr>
          <w:b/>
        </w:rPr>
        <w:tab/>
        <w:t>S</w:t>
      </w:r>
      <w:r>
        <w:rPr>
          <w:b/>
        </w:rPr>
        <w:t>hould not disproportionately affect disadvantaged and marginalized groups</w:t>
      </w:r>
      <w:proofErr w:type="gramStart"/>
      <w:r>
        <w:rPr>
          <w:b/>
        </w:rPr>
        <w:t>;</w:t>
      </w:r>
      <w:proofErr w:type="gramEnd"/>
      <w:r>
        <w:rPr>
          <w:b/>
        </w:rPr>
        <w:t xml:space="preserve"> </w:t>
      </w:r>
    </w:p>
    <w:p w14:paraId="2B917FEC" w14:textId="0D1DFBCB" w:rsidR="00206A7D" w:rsidRDefault="000A59A5" w:rsidP="00B010A7">
      <w:pPr>
        <w:pStyle w:val="SingleTxtG"/>
        <w:tabs>
          <w:tab w:val="clear" w:pos="1701"/>
          <w:tab w:val="clear" w:pos="2268"/>
          <w:tab w:val="clear" w:pos="2835"/>
        </w:tabs>
        <w:ind w:firstLine="567"/>
        <w:rPr>
          <w:b/>
        </w:rPr>
      </w:pPr>
      <w:r>
        <w:rPr>
          <w:b/>
        </w:rPr>
        <w:t>(d)</w:t>
      </w:r>
      <w:r w:rsidR="00367C28">
        <w:rPr>
          <w:b/>
        </w:rPr>
        <w:tab/>
        <w:t>A</w:t>
      </w:r>
      <w:r>
        <w:rPr>
          <w:b/>
        </w:rPr>
        <w:t xml:space="preserve">re accompanied by other measures such as social transfers to mitigate inequalities arising in times of crisis; and </w:t>
      </w:r>
    </w:p>
    <w:p w14:paraId="3DAC5D71" w14:textId="52515FC1" w:rsidR="000A59A5" w:rsidRDefault="000A59A5" w:rsidP="00B010A7">
      <w:pPr>
        <w:pStyle w:val="SingleTxtG"/>
        <w:tabs>
          <w:tab w:val="clear" w:pos="1701"/>
          <w:tab w:val="clear" w:pos="2268"/>
          <w:tab w:val="clear" w:pos="2835"/>
        </w:tabs>
        <w:ind w:firstLine="567"/>
        <w:rPr>
          <w:b/>
        </w:rPr>
      </w:pPr>
      <w:r>
        <w:rPr>
          <w:b/>
        </w:rPr>
        <w:t>(e)</w:t>
      </w:r>
      <w:r w:rsidR="00367C28">
        <w:rPr>
          <w:b/>
        </w:rPr>
        <w:tab/>
        <w:t>P</w:t>
      </w:r>
      <w:r>
        <w:rPr>
          <w:b/>
        </w:rPr>
        <w:t>reserve a core amount that enable beneficiaries an adequate standard of living.</w:t>
      </w:r>
      <w:r w:rsidR="00E41C80">
        <w:rPr>
          <w:b/>
        </w:rPr>
        <w:t xml:space="preserve"> The Committee refers the State party to general comment No. 19 (2007) on the right to social security as well as to the letter of its Chairperson (2012) on austerity measures.</w:t>
      </w:r>
    </w:p>
    <w:p w14:paraId="18899DBB" w14:textId="77777777" w:rsidR="007A4F8E" w:rsidRPr="007A4F8E" w:rsidRDefault="0019408B" w:rsidP="00C87981">
      <w:pPr>
        <w:pStyle w:val="H23G"/>
        <w:tabs>
          <w:tab w:val="clear" w:pos="851"/>
        </w:tabs>
        <w:ind w:firstLine="0"/>
      </w:pPr>
      <w:r>
        <w:t>Labour and p</w:t>
      </w:r>
      <w:r w:rsidR="007A4F8E">
        <w:t>ension</w:t>
      </w:r>
      <w:r>
        <w:t xml:space="preserve"> rights</w:t>
      </w:r>
      <w:r w:rsidR="007A4F8E">
        <w:t xml:space="preserve"> for persons with disabilities</w:t>
      </w:r>
    </w:p>
    <w:p w14:paraId="7274D510" w14:textId="73DC72CE" w:rsidR="007A4F8E" w:rsidRPr="007A4F8E" w:rsidRDefault="007A4F8E" w:rsidP="00EC7082">
      <w:pPr>
        <w:pStyle w:val="SingleTxtG"/>
        <w:numPr>
          <w:ilvl w:val="0"/>
          <w:numId w:val="28"/>
        </w:numPr>
        <w:tabs>
          <w:tab w:val="clear" w:pos="1701"/>
          <w:tab w:val="clear" w:pos="2268"/>
          <w:tab w:val="clear" w:pos="2835"/>
        </w:tabs>
        <w:ind w:left="1134" w:firstLine="0"/>
        <w:rPr>
          <w:b/>
        </w:rPr>
      </w:pPr>
      <w:r>
        <w:t xml:space="preserve">The Committee </w:t>
      </w:r>
      <w:r w:rsidR="00582942">
        <w:t xml:space="preserve">is concerned </w:t>
      </w:r>
      <w:r w:rsidR="008F0FAC">
        <w:t xml:space="preserve">that persons with disabilities are disadvantaged in the labour market. It is also concerned </w:t>
      </w:r>
      <w:r w:rsidR="00582942">
        <w:t>at</w:t>
      </w:r>
      <w:r w:rsidR="0019408B">
        <w:t xml:space="preserve"> </w:t>
      </w:r>
      <w:r w:rsidR="00072165">
        <w:t>the current arrangements</w:t>
      </w:r>
      <w:r w:rsidR="00582942">
        <w:t xml:space="preserve"> of “integrated shelter work” without pay </w:t>
      </w:r>
      <w:r w:rsidR="008F0FAC">
        <w:t>or leave entitlements n</w:t>
      </w:r>
      <w:r w:rsidR="00582942">
        <w:t>or contribution to old age pension</w:t>
      </w:r>
      <w:r w:rsidR="00582942" w:rsidRPr="00582942">
        <w:t xml:space="preserve"> </w:t>
      </w:r>
      <w:r w:rsidR="00582942">
        <w:t>for persons with disabilities placed therein.</w:t>
      </w:r>
      <w:r w:rsidR="00072165">
        <w:t xml:space="preserve"> </w:t>
      </w:r>
      <w:r w:rsidR="008F0FAC">
        <w:t>Moreover, it</w:t>
      </w:r>
      <w:r w:rsidR="0019408B">
        <w:t xml:space="preserve"> </w:t>
      </w:r>
      <w:r>
        <w:t xml:space="preserve">notes with concern that eligibility requirements for the pension for persons with disabilities </w:t>
      </w:r>
      <w:r w:rsidR="0019408B">
        <w:t>a</w:t>
      </w:r>
      <w:r w:rsidR="00EC54A9">
        <w:t>s</w:t>
      </w:r>
      <w:r w:rsidR="0019408B">
        <w:t xml:space="preserve"> well as its amount </w:t>
      </w:r>
      <w:r>
        <w:t>do not adequately take into account disability-</w:t>
      </w:r>
      <w:r w:rsidR="00A77F31">
        <w:t>related costs</w:t>
      </w:r>
      <w:r>
        <w:t xml:space="preserve"> (art</w:t>
      </w:r>
      <w:r w:rsidR="008F0FAC">
        <w:t>s</w:t>
      </w:r>
      <w:r>
        <w:t>.</w:t>
      </w:r>
      <w:r w:rsidR="008F0FAC">
        <w:t xml:space="preserve"> 6, 7 and</w:t>
      </w:r>
      <w:r>
        <w:t xml:space="preserve"> 9)</w:t>
      </w:r>
      <w:r w:rsidR="00A77F31">
        <w:t>.</w:t>
      </w:r>
    </w:p>
    <w:p w14:paraId="22A3AB10" w14:textId="34C5BB40" w:rsidR="00052E80" w:rsidRDefault="00582942" w:rsidP="00EC7082">
      <w:pPr>
        <w:pStyle w:val="SingleTxtG"/>
        <w:numPr>
          <w:ilvl w:val="0"/>
          <w:numId w:val="28"/>
        </w:numPr>
        <w:tabs>
          <w:tab w:val="clear" w:pos="1701"/>
          <w:tab w:val="clear" w:pos="2268"/>
          <w:tab w:val="clear" w:pos="2835"/>
        </w:tabs>
        <w:ind w:left="1134" w:firstLine="0"/>
        <w:rPr>
          <w:b/>
        </w:rPr>
      </w:pPr>
      <w:r>
        <w:rPr>
          <w:b/>
        </w:rPr>
        <w:t>The Committee recommends that the State party ensure that workers with disabilities enjoy the right to just and favourable conditions of work on an equal basis with others. I</w:t>
      </w:r>
      <w:r w:rsidR="00EC54A9">
        <w:rPr>
          <w:b/>
        </w:rPr>
        <w:t>n this regard, i</w:t>
      </w:r>
      <w:r>
        <w:rPr>
          <w:b/>
        </w:rPr>
        <w:t xml:space="preserve">t recommends that the State party </w:t>
      </w:r>
      <w:r w:rsidR="001059AC">
        <w:rPr>
          <w:b/>
        </w:rPr>
        <w:t xml:space="preserve">discontinue </w:t>
      </w:r>
      <w:r>
        <w:rPr>
          <w:b/>
        </w:rPr>
        <w:t>the practice of segregating workers with disabilities in sheltered workplace</w:t>
      </w:r>
      <w:r w:rsidR="001059AC">
        <w:rPr>
          <w:b/>
        </w:rPr>
        <w:t>, amend legislative provisions thereon,</w:t>
      </w:r>
      <w:r w:rsidR="00EC54A9">
        <w:rPr>
          <w:b/>
        </w:rPr>
        <w:t xml:space="preserve"> and</w:t>
      </w:r>
      <w:r>
        <w:rPr>
          <w:b/>
        </w:rPr>
        <w:t xml:space="preserve"> ensure that persons with disabilities</w:t>
      </w:r>
      <w:r w:rsidR="00012A62">
        <w:rPr>
          <w:b/>
        </w:rPr>
        <w:t>:</w:t>
      </w:r>
    </w:p>
    <w:p w14:paraId="09FC1F35" w14:textId="24C7FD1C" w:rsidR="00052E80" w:rsidRPr="00C87981" w:rsidRDefault="00052E80" w:rsidP="00C87981">
      <w:pPr>
        <w:pStyle w:val="SingleTxtG"/>
        <w:rPr>
          <w:b/>
        </w:rPr>
      </w:pPr>
      <w:r w:rsidRPr="00C87981">
        <w:rPr>
          <w:b/>
        </w:rPr>
        <w:tab/>
      </w:r>
      <w:proofErr w:type="gramStart"/>
      <w:r w:rsidR="00C87981">
        <w:rPr>
          <w:b/>
        </w:rPr>
        <w:t>(a)</w:t>
      </w:r>
      <w:r w:rsidR="00C87981" w:rsidRPr="00C87981">
        <w:rPr>
          <w:b/>
        </w:rPr>
        <w:tab/>
        <w:t>Are</w:t>
      </w:r>
      <w:r w:rsidR="00582942" w:rsidRPr="00C87981">
        <w:rPr>
          <w:b/>
        </w:rPr>
        <w:t xml:space="preserve"> </w:t>
      </w:r>
      <w:r w:rsidR="00EC54A9" w:rsidRPr="00C87981">
        <w:rPr>
          <w:b/>
        </w:rPr>
        <w:t>guaranteed</w:t>
      </w:r>
      <w:proofErr w:type="gramEnd"/>
      <w:r w:rsidR="00582942" w:rsidRPr="00C87981">
        <w:rPr>
          <w:b/>
        </w:rPr>
        <w:t xml:space="preserve"> reasonable accommodation</w:t>
      </w:r>
      <w:r w:rsidR="00EC54A9" w:rsidRPr="00C87981">
        <w:rPr>
          <w:b/>
        </w:rPr>
        <w:t xml:space="preserve"> in the workplace</w:t>
      </w:r>
      <w:r w:rsidR="00582942" w:rsidRPr="00C87981">
        <w:rPr>
          <w:b/>
        </w:rPr>
        <w:t>;</w:t>
      </w:r>
      <w:r w:rsidR="00EC54A9" w:rsidRPr="00C87981">
        <w:rPr>
          <w:b/>
        </w:rPr>
        <w:t xml:space="preserve"> </w:t>
      </w:r>
    </w:p>
    <w:p w14:paraId="11E9D003" w14:textId="27F8E4F8" w:rsidR="00052E80" w:rsidRPr="00C87981" w:rsidRDefault="00052E80" w:rsidP="00C87981">
      <w:pPr>
        <w:pStyle w:val="SingleTxtG"/>
        <w:rPr>
          <w:b/>
        </w:rPr>
      </w:pPr>
      <w:r w:rsidRPr="00C87981">
        <w:rPr>
          <w:b/>
        </w:rPr>
        <w:lastRenderedPageBreak/>
        <w:tab/>
      </w:r>
      <w:r w:rsidR="00EC54A9" w:rsidRPr="00C87981">
        <w:rPr>
          <w:b/>
        </w:rPr>
        <w:t>(b</w:t>
      </w:r>
      <w:r w:rsidR="00C87981">
        <w:rPr>
          <w:b/>
        </w:rPr>
        <w:t>)</w:t>
      </w:r>
      <w:r w:rsidR="00C87981" w:rsidRPr="00C87981">
        <w:rPr>
          <w:b/>
        </w:rPr>
        <w:tab/>
        <w:t>R</w:t>
      </w:r>
      <w:r w:rsidR="00EC54A9" w:rsidRPr="00C87981">
        <w:rPr>
          <w:b/>
        </w:rPr>
        <w:t>eceive fair remuneration for the work they perform</w:t>
      </w:r>
      <w:r w:rsidR="00F30DDD" w:rsidRPr="00C87981">
        <w:rPr>
          <w:b/>
        </w:rPr>
        <w:t>,</w:t>
      </w:r>
      <w:r w:rsidR="00EC54A9" w:rsidRPr="00C87981">
        <w:rPr>
          <w:b/>
        </w:rPr>
        <w:t xml:space="preserve"> </w:t>
      </w:r>
      <w:r w:rsidR="00F30DDD" w:rsidRPr="00C87981">
        <w:rPr>
          <w:b/>
        </w:rPr>
        <w:t>providing</w:t>
      </w:r>
      <w:r w:rsidR="00EC54A9" w:rsidRPr="00C87981">
        <w:rPr>
          <w:b/>
        </w:rPr>
        <w:t xml:space="preserve"> decent living for them and their families; and </w:t>
      </w:r>
    </w:p>
    <w:p w14:paraId="62DB3EB7" w14:textId="1E35C037" w:rsidR="00052E80" w:rsidRPr="00C87981" w:rsidRDefault="00052E80" w:rsidP="00C87981">
      <w:pPr>
        <w:pStyle w:val="SingleTxtG"/>
        <w:rPr>
          <w:b/>
        </w:rPr>
      </w:pPr>
      <w:r w:rsidRPr="00C87981">
        <w:rPr>
          <w:b/>
        </w:rPr>
        <w:tab/>
      </w:r>
      <w:r w:rsidR="00C87981">
        <w:rPr>
          <w:b/>
        </w:rPr>
        <w:t>(c)</w:t>
      </w:r>
      <w:r w:rsidR="00C87981" w:rsidRPr="00C87981">
        <w:rPr>
          <w:b/>
        </w:rPr>
        <w:tab/>
        <w:t>E</w:t>
      </w:r>
      <w:r w:rsidR="00EC54A9" w:rsidRPr="00C87981">
        <w:rPr>
          <w:b/>
        </w:rPr>
        <w:t xml:space="preserve">njoy equal remuneration for work of equal value and do not suffer wage discrimination due to a perceived reduced capacity for work. </w:t>
      </w:r>
    </w:p>
    <w:p w14:paraId="071EC79E" w14:textId="444ED70B" w:rsidR="007A4F8E" w:rsidRDefault="00EC54A9" w:rsidP="00EC7082">
      <w:pPr>
        <w:pStyle w:val="SingleTxtG"/>
        <w:numPr>
          <w:ilvl w:val="0"/>
          <w:numId w:val="28"/>
        </w:numPr>
        <w:tabs>
          <w:tab w:val="clear" w:pos="1701"/>
          <w:tab w:val="clear" w:pos="2268"/>
          <w:tab w:val="clear" w:pos="2835"/>
        </w:tabs>
        <w:ind w:left="1134" w:firstLine="0"/>
        <w:rPr>
          <w:b/>
        </w:rPr>
      </w:pPr>
      <w:r>
        <w:rPr>
          <w:b/>
        </w:rPr>
        <w:t>Moreover, the Committee recommends that</w:t>
      </w:r>
      <w:r w:rsidR="001059AC">
        <w:rPr>
          <w:b/>
        </w:rPr>
        <w:t xml:space="preserve">, while </w:t>
      </w:r>
      <w:r w:rsidR="00012A62">
        <w:rPr>
          <w:b/>
        </w:rPr>
        <w:t>the State party</w:t>
      </w:r>
      <w:r w:rsidR="001059AC">
        <w:rPr>
          <w:b/>
        </w:rPr>
        <w:t xml:space="preserve"> seeks to </w:t>
      </w:r>
      <w:r w:rsidR="001059AC" w:rsidRPr="001F0E6E">
        <w:rPr>
          <w:b/>
        </w:rPr>
        <w:t>abolish poverty traps,</w:t>
      </w:r>
      <w:r>
        <w:rPr>
          <w:b/>
        </w:rPr>
        <w:t xml:space="preserve"> </w:t>
      </w:r>
      <w:r w:rsidR="00012A62">
        <w:rPr>
          <w:b/>
        </w:rPr>
        <w:t xml:space="preserve">it </w:t>
      </w:r>
      <w:r w:rsidR="00F30DDD">
        <w:rPr>
          <w:b/>
        </w:rPr>
        <w:t xml:space="preserve">ensure that </w:t>
      </w:r>
      <w:r>
        <w:rPr>
          <w:b/>
        </w:rPr>
        <w:t>the amount of pension benefits adequately cover both income replacement and disability-related costs.</w:t>
      </w:r>
      <w:r w:rsidR="00052E80">
        <w:rPr>
          <w:b/>
        </w:rPr>
        <w:t xml:space="preserve"> Furthermore, the Committee recommends that the State party adopt a definition of “disability” which will allow a better collection of data on the situation of persons with disabilities. </w:t>
      </w:r>
    </w:p>
    <w:p w14:paraId="42DCB52A" w14:textId="77777777" w:rsidR="004565C0" w:rsidRDefault="004565C0" w:rsidP="00C87981">
      <w:pPr>
        <w:pStyle w:val="H23G"/>
        <w:tabs>
          <w:tab w:val="clear" w:pos="851"/>
        </w:tabs>
        <w:ind w:firstLine="0"/>
      </w:pPr>
      <w:r>
        <w:t>Protection of children and the family</w:t>
      </w:r>
    </w:p>
    <w:p w14:paraId="281EF203" w14:textId="194A63E2" w:rsidR="004565C0" w:rsidRPr="005266C6" w:rsidRDefault="004565C0" w:rsidP="00EC7082">
      <w:pPr>
        <w:pStyle w:val="SingleTxtG"/>
        <w:numPr>
          <w:ilvl w:val="0"/>
          <w:numId w:val="28"/>
        </w:numPr>
        <w:tabs>
          <w:tab w:val="clear" w:pos="1701"/>
          <w:tab w:val="clear" w:pos="2268"/>
          <w:tab w:val="clear" w:pos="2835"/>
        </w:tabs>
        <w:ind w:left="1134" w:firstLine="0"/>
      </w:pPr>
      <w:r>
        <w:t xml:space="preserve">The Committee is concerned at reports of more frequent recourse to placing children in </w:t>
      </w:r>
      <w:r w:rsidR="00FD296D">
        <w:t>alternative care</w:t>
      </w:r>
      <w:r w:rsidR="00F73D33">
        <w:t xml:space="preserve"> and of insufficient assistance to children of undocumented migrants and </w:t>
      </w:r>
      <w:r w:rsidR="00012A62">
        <w:t xml:space="preserve">to </w:t>
      </w:r>
      <w:r w:rsidR="00F73D33">
        <w:t>unaccompanied</w:t>
      </w:r>
      <w:r w:rsidR="00206A7D">
        <w:t xml:space="preserve"> </w:t>
      </w:r>
      <w:r w:rsidR="00012A62">
        <w:t>children</w:t>
      </w:r>
      <w:r>
        <w:t>.</w:t>
      </w:r>
      <w:r w:rsidR="00FD296D">
        <w:t xml:space="preserve"> </w:t>
      </w:r>
      <w:r w:rsidR="003125FF">
        <w:t>(art. 10)</w:t>
      </w:r>
      <w:r w:rsidR="00A77F31">
        <w:t>.</w:t>
      </w:r>
    </w:p>
    <w:p w14:paraId="79B400B8" w14:textId="55E69FF4" w:rsidR="00E94207" w:rsidRDefault="004565C0" w:rsidP="00B010A7">
      <w:pPr>
        <w:pStyle w:val="SingleTxtG"/>
        <w:numPr>
          <w:ilvl w:val="0"/>
          <w:numId w:val="28"/>
        </w:numPr>
        <w:tabs>
          <w:tab w:val="clear" w:pos="1701"/>
          <w:tab w:val="clear" w:pos="2268"/>
          <w:tab w:val="clear" w:pos="2835"/>
        </w:tabs>
        <w:ind w:left="1134" w:firstLine="0"/>
        <w:rPr>
          <w:b/>
        </w:rPr>
      </w:pPr>
      <w:r>
        <w:rPr>
          <w:b/>
        </w:rPr>
        <w:t>The C</w:t>
      </w:r>
      <w:r w:rsidR="00FD296D">
        <w:rPr>
          <w:b/>
        </w:rPr>
        <w:t xml:space="preserve">ommittee recommends that the State party prioritize efforts to keep children in, or return them to, the care of their family and to ensure families’ access to forms of support in the caregiving role. In this regard, it recommends that the State party </w:t>
      </w:r>
      <w:r w:rsidR="00A30C05">
        <w:rPr>
          <w:b/>
        </w:rPr>
        <w:t>increase the capacity of</w:t>
      </w:r>
      <w:r w:rsidR="00FD296D">
        <w:rPr>
          <w:b/>
        </w:rPr>
        <w:t xml:space="preserve"> </w:t>
      </w:r>
      <w:r w:rsidR="00A30C05">
        <w:rPr>
          <w:b/>
        </w:rPr>
        <w:t>preventive social care services</w:t>
      </w:r>
      <w:r w:rsidR="00F73D33">
        <w:rPr>
          <w:b/>
        </w:rPr>
        <w:t>,</w:t>
      </w:r>
      <w:r w:rsidR="00A30C05">
        <w:rPr>
          <w:b/>
        </w:rPr>
        <w:t xml:space="preserve"> and address the shortage of qualified personnel that </w:t>
      </w:r>
      <w:proofErr w:type="gramStart"/>
      <w:r w:rsidR="00A30C05">
        <w:rPr>
          <w:b/>
        </w:rPr>
        <w:t>has been identified</w:t>
      </w:r>
      <w:proofErr w:type="gramEnd"/>
      <w:r w:rsidR="00F73D33">
        <w:rPr>
          <w:b/>
        </w:rPr>
        <w:t xml:space="preserve"> and ensure that children of undocumented migrants and unaccompanied </w:t>
      </w:r>
      <w:r w:rsidR="00012A62">
        <w:rPr>
          <w:b/>
        </w:rPr>
        <w:t xml:space="preserve">children </w:t>
      </w:r>
      <w:r w:rsidR="00F73D33">
        <w:rPr>
          <w:b/>
        </w:rPr>
        <w:t>effectively benefit from social care services</w:t>
      </w:r>
      <w:r w:rsidR="00A30C05">
        <w:rPr>
          <w:b/>
        </w:rPr>
        <w:t xml:space="preserve">. </w:t>
      </w:r>
    </w:p>
    <w:p w14:paraId="1F91DE21" w14:textId="25B639FA" w:rsidR="00261BF9" w:rsidRPr="009F7781" w:rsidRDefault="00261BF9" w:rsidP="00B010A7">
      <w:pPr>
        <w:pStyle w:val="H23G"/>
        <w:tabs>
          <w:tab w:val="clear" w:pos="851"/>
        </w:tabs>
        <w:ind w:firstLine="0"/>
      </w:pPr>
      <w:r>
        <w:t>Rights of older persons</w:t>
      </w:r>
    </w:p>
    <w:p w14:paraId="0FE340FE" w14:textId="0B933F17" w:rsidR="00206A7D" w:rsidRPr="00B010A7" w:rsidRDefault="00206A7D" w:rsidP="00B010A7">
      <w:pPr>
        <w:pStyle w:val="SingleTxtG"/>
        <w:numPr>
          <w:ilvl w:val="0"/>
          <w:numId w:val="28"/>
        </w:numPr>
        <w:tabs>
          <w:tab w:val="clear" w:pos="1701"/>
          <w:tab w:val="clear" w:pos="2268"/>
          <w:tab w:val="clear" w:pos="2835"/>
        </w:tabs>
        <w:ind w:left="1134" w:firstLine="0"/>
        <w:rPr>
          <w:b/>
        </w:rPr>
      </w:pPr>
      <w:r>
        <w:t>The Committee is also concerned at the shortage of affordable residential care for older persons (art. 10)</w:t>
      </w:r>
      <w:r w:rsidR="00367C28">
        <w:t>.</w:t>
      </w:r>
    </w:p>
    <w:p w14:paraId="2BB2D012" w14:textId="2AE81AF7" w:rsidR="00206A7D" w:rsidRDefault="00206A7D" w:rsidP="00EC7082">
      <w:pPr>
        <w:pStyle w:val="SingleTxtG"/>
        <w:numPr>
          <w:ilvl w:val="0"/>
          <w:numId w:val="28"/>
        </w:numPr>
        <w:tabs>
          <w:tab w:val="clear" w:pos="1701"/>
          <w:tab w:val="clear" w:pos="2268"/>
          <w:tab w:val="clear" w:pos="2835"/>
        </w:tabs>
        <w:ind w:left="1134" w:firstLine="0"/>
        <w:rPr>
          <w:b/>
        </w:rPr>
      </w:pPr>
      <w:r>
        <w:rPr>
          <w:b/>
        </w:rPr>
        <w:t xml:space="preserve">The Committee recommends that the State party </w:t>
      </w:r>
      <w:r w:rsidR="00367C28">
        <w:rPr>
          <w:b/>
        </w:rPr>
        <w:t>:</w:t>
      </w:r>
    </w:p>
    <w:p w14:paraId="05E4FCC3" w14:textId="255F45C1" w:rsidR="00206A7D" w:rsidRDefault="00206A7D" w:rsidP="00B010A7">
      <w:pPr>
        <w:pStyle w:val="SingleTxtG"/>
        <w:tabs>
          <w:tab w:val="clear" w:pos="1701"/>
          <w:tab w:val="clear" w:pos="2268"/>
          <w:tab w:val="clear" w:pos="2835"/>
        </w:tabs>
        <w:ind w:firstLine="567"/>
        <w:rPr>
          <w:b/>
        </w:rPr>
      </w:pPr>
      <w:r>
        <w:rPr>
          <w:b/>
        </w:rPr>
        <w:t>(a)</w:t>
      </w:r>
      <w:r w:rsidR="00367C28">
        <w:rPr>
          <w:b/>
        </w:rPr>
        <w:tab/>
        <w:t>G</w:t>
      </w:r>
      <w:r>
        <w:rPr>
          <w:b/>
        </w:rPr>
        <w:t>uarantee in its legislation the rights of older persons to both independent living and to affordable and quality care, including residential care, as well as the right to self-determination</w:t>
      </w:r>
      <w:proofErr w:type="gramStart"/>
      <w:r>
        <w:rPr>
          <w:b/>
        </w:rPr>
        <w:t>;</w:t>
      </w:r>
      <w:proofErr w:type="gramEnd"/>
      <w:r>
        <w:rPr>
          <w:b/>
        </w:rPr>
        <w:t xml:space="preserve"> </w:t>
      </w:r>
    </w:p>
    <w:p w14:paraId="3CC17D7C" w14:textId="5303D6A7" w:rsidR="00206A7D" w:rsidRDefault="00206A7D" w:rsidP="00B010A7">
      <w:pPr>
        <w:pStyle w:val="SingleTxtG"/>
        <w:tabs>
          <w:tab w:val="clear" w:pos="1701"/>
          <w:tab w:val="clear" w:pos="2268"/>
          <w:tab w:val="clear" w:pos="2835"/>
        </w:tabs>
        <w:ind w:firstLine="567"/>
        <w:rPr>
          <w:b/>
        </w:rPr>
      </w:pPr>
      <w:r>
        <w:rPr>
          <w:b/>
        </w:rPr>
        <w:t>(b)</w:t>
      </w:r>
      <w:r w:rsidR="00367C28">
        <w:rPr>
          <w:b/>
        </w:rPr>
        <w:tab/>
        <w:t>P</w:t>
      </w:r>
      <w:r>
        <w:rPr>
          <w:b/>
        </w:rPr>
        <w:t>ursue and monitor the realization of these rights in the restructuring of social services</w:t>
      </w:r>
      <w:proofErr w:type="gramStart"/>
      <w:r>
        <w:rPr>
          <w:b/>
        </w:rPr>
        <w:t>;</w:t>
      </w:r>
      <w:proofErr w:type="gramEnd"/>
      <w:r>
        <w:rPr>
          <w:b/>
        </w:rPr>
        <w:t xml:space="preserve"> </w:t>
      </w:r>
    </w:p>
    <w:p w14:paraId="497A188F" w14:textId="5BD7D596" w:rsidR="00206A7D" w:rsidRDefault="00206A7D" w:rsidP="00B010A7">
      <w:pPr>
        <w:pStyle w:val="SingleTxtG"/>
        <w:tabs>
          <w:tab w:val="clear" w:pos="1701"/>
          <w:tab w:val="clear" w:pos="2268"/>
          <w:tab w:val="clear" w:pos="2835"/>
        </w:tabs>
        <w:ind w:firstLine="567"/>
        <w:rPr>
          <w:b/>
        </w:rPr>
      </w:pPr>
      <w:r>
        <w:rPr>
          <w:b/>
        </w:rPr>
        <w:t>(c)</w:t>
      </w:r>
      <w:r w:rsidR="00367C28">
        <w:rPr>
          <w:b/>
        </w:rPr>
        <w:tab/>
        <w:t>I</w:t>
      </w:r>
      <w:r>
        <w:rPr>
          <w:b/>
        </w:rPr>
        <w:t>ncrease the overall offer of affordable residential care, with adequate and qualified personnel.</w:t>
      </w:r>
    </w:p>
    <w:p w14:paraId="6872E445" w14:textId="77777777" w:rsidR="00066CF8" w:rsidRDefault="00066CF8" w:rsidP="00C87981">
      <w:pPr>
        <w:pStyle w:val="H23G"/>
        <w:tabs>
          <w:tab w:val="clear" w:pos="851"/>
        </w:tabs>
        <w:ind w:firstLine="0"/>
      </w:pPr>
      <w:r>
        <w:t>Poverty</w:t>
      </w:r>
    </w:p>
    <w:p w14:paraId="1AAC2940" w14:textId="40C3DEDE" w:rsidR="00066CF8" w:rsidRDefault="00582324" w:rsidP="00EC7082">
      <w:pPr>
        <w:pStyle w:val="SingleTxtG"/>
        <w:numPr>
          <w:ilvl w:val="0"/>
          <w:numId w:val="28"/>
        </w:numPr>
        <w:tabs>
          <w:tab w:val="clear" w:pos="1701"/>
          <w:tab w:val="clear" w:pos="2268"/>
          <w:tab w:val="clear" w:pos="2835"/>
        </w:tabs>
        <w:ind w:left="1134" w:firstLine="0"/>
      </w:pPr>
      <w:proofErr w:type="gramStart"/>
      <w:r>
        <w:t xml:space="preserve">Noting the measures taken by the State party to mitigate the impact of the COVID-19 </w:t>
      </w:r>
      <w:r w:rsidR="003F1D74">
        <w:t>pandemic</w:t>
      </w:r>
      <w:r>
        <w:t xml:space="preserve"> on the population, t</w:t>
      </w:r>
      <w:r w:rsidR="00066CF8">
        <w:t xml:space="preserve">he Committee is concerned </w:t>
      </w:r>
      <w:r w:rsidR="003125FF">
        <w:t>that</w:t>
      </w:r>
      <w:r w:rsidR="006E48D7">
        <w:t xml:space="preserve"> past</w:t>
      </w:r>
      <w:r w:rsidR="003125FF">
        <w:t xml:space="preserve"> cuts in social security benefits as well as the COVID-19 crisis have put a greater number of households</w:t>
      </w:r>
      <w:r w:rsidR="006E48D7">
        <w:t>, especially those with children,</w:t>
      </w:r>
      <w:r w:rsidR="003125FF">
        <w:t xml:space="preserve"> at risk of poverty or exclusion and that austerity measures implemented during the 2015-201</w:t>
      </w:r>
      <w:r w:rsidR="007049BE">
        <w:t>9 parliamentary term</w:t>
      </w:r>
      <w:r w:rsidR="003125FF">
        <w:t xml:space="preserve"> affected income re</w:t>
      </w:r>
      <w:r w:rsidR="00A77F31">
        <w:t>distribution in the State party</w:t>
      </w:r>
      <w:r w:rsidR="003125FF">
        <w:t xml:space="preserve"> </w:t>
      </w:r>
      <w:r w:rsidR="006E48D7">
        <w:t>(arts. 11 and 10)</w:t>
      </w:r>
      <w:r w:rsidR="00A77F31">
        <w:t>.</w:t>
      </w:r>
      <w:proofErr w:type="gramEnd"/>
      <w:r w:rsidR="00261BF9">
        <w:t xml:space="preserve"> </w:t>
      </w:r>
    </w:p>
    <w:p w14:paraId="59B72B3B" w14:textId="5843F0F4" w:rsidR="00066CF8" w:rsidRPr="00A91ECD" w:rsidRDefault="006E48D7" w:rsidP="00EC7082">
      <w:pPr>
        <w:pStyle w:val="SingleTxtG"/>
        <w:numPr>
          <w:ilvl w:val="0"/>
          <w:numId w:val="28"/>
        </w:numPr>
        <w:tabs>
          <w:tab w:val="clear" w:pos="1701"/>
          <w:tab w:val="clear" w:pos="2268"/>
          <w:tab w:val="clear" w:pos="2835"/>
        </w:tabs>
        <w:ind w:left="1134" w:firstLine="0"/>
      </w:pPr>
      <w:r>
        <w:rPr>
          <w:b/>
        </w:rPr>
        <w:t>The Committee recommends that the State party monitor the impact on reduction of poverty and inequalities of the reforms of the social and health services as well the programmes that it will put in place to improve services for families with children and to secure their income.</w:t>
      </w:r>
    </w:p>
    <w:p w14:paraId="63024C00" w14:textId="77777777" w:rsidR="0049226F" w:rsidRDefault="0049226F" w:rsidP="00C87981">
      <w:pPr>
        <w:pStyle w:val="H23G"/>
        <w:tabs>
          <w:tab w:val="clear" w:pos="851"/>
        </w:tabs>
        <w:ind w:firstLine="0"/>
      </w:pPr>
      <w:r>
        <w:t>Homelessness</w:t>
      </w:r>
    </w:p>
    <w:p w14:paraId="6A2A8679" w14:textId="0229D2A2" w:rsidR="0049226F" w:rsidRDefault="0049226F" w:rsidP="00EC7082">
      <w:pPr>
        <w:pStyle w:val="SingleTxtG"/>
        <w:numPr>
          <w:ilvl w:val="0"/>
          <w:numId w:val="28"/>
        </w:numPr>
        <w:tabs>
          <w:tab w:val="clear" w:pos="1701"/>
          <w:tab w:val="clear" w:pos="2268"/>
          <w:tab w:val="clear" w:pos="2835"/>
        </w:tabs>
        <w:ind w:left="1134" w:firstLine="0"/>
      </w:pPr>
      <w:r w:rsidRPr="005266C6">
        <w:t>The</w:t>
      </w:r>
      <w:r>
        <w:t xml:space="preserve"> Committee notes that programmes implemented by the State party between 2018 and 2019 have reduced long-term homeless</w:t>
      </w:r>
      <w:r w:rsidR="00BB5AF6">
        <w:t>ness</w:t>
      </w:r>
      <w:r>
        <w:t xml:space="preserve"> by nearly 50 per cent. At the same time, the Committee notes with concern at the lack of measures targeted at preventing homelessness among certain groups such as former inmates (art. 11)</w:t>
      </w:r>
      <w:r w:rsidR="00F334F6">
        <w:t>.</w:t>
      </w:r>
    </w:p>
    <w:p w14:paraId="581D867B" w14:textId="19823CFD" w:rsidR="00261BF9" w:rsidRDefault="00B05DD4" w:rsidP="00EC7082">
      <w:pPr>
        <w:pStyle w:val="SingleTxtG"/>
        <w:numPr>
          <w:ilvl w:val="0"/>
          <w:numId w:val="28"/>
        </w:numPr>
        <w:tabs>
          <w:tab w:val="clear" w:pos="1701"/>
          <w:tab w:val="clear" w:pos="2268"/>
          <w:tab w:val="clear" w:pos="2835"/>
        </w:tabs>
        <w:ind w:left="1134" w:firstLine="0"/>
        <w:rPr>
          <w:b/>
        </w:rPr>
      </w:pPr>
      <w:r>
        <w:rPr>
          <w:b/>
        </w:rPr>
        <w:lastRenderedPageBreak/>
        <w:t>T</w:t>
      </w:r>
      <w:r w:rsidR="0049226F" w:rsidRPr="00C62B3F">
        <w:rPr>
          <w:b/>
        </w:rPr>
        <w:t>he Committee recommends that</w:t>
      </w:r>
      <w:r w:rsidR="000532CF">
        <w:rPr>
          <w:b/>
        </w:rPr>
        <w:t>, as a priority,</w:t>
      </w:r>
      <w:r w:rsidR="0049226F" w:rsidRPr="00C62B3F">
        <w:rPr>
          <w:b/>
        </w:rPr>
        <w:t xml:space="preserve"> </w:t>
      </w:r>
      <w:r w:rsidRPr="00C62B3F">
        <w:rPr>
          <w:b/>
        </w:rPr>
        <w:t xml:space="preserve">durable solutions </w:t>
      </w:r>
      <w:proofErr w:type="gramStart"/>
      <w:r w:rsidR="000271F1">
        <w:rPr>
          <w:b/>
        </w:rPr>
        <w:t xml:space="preserve">be </w:t>
      </w:r>
      <w:r w:rsidR="000532CF">
        <w:rPr>
          <w:b/>
        </w:rPr>
        <w:t>sought</w:t>
      </w:r>
      <w:proofErr w:type="gramEnd"/>
      <w:r w:rsidR="000532CF">
        <w:rPr>
          <w:b/>
        </w:rPr>
        <w:t xml:space="preserve"> for</w:t>
      </w:r>
      <w:r>
        <w:rPr>
          <w:b/>
        </w:rPr>
        <w:t xml:space="preserve"> homeless persons. It also recommends that the State party</w:t>
      </w:r>
      <w:r w:rsidRPr="00C62B3F">
        <w:rPr>
          <w:b/>
        </w:rPr>
        <w:t xml:space="preserve"> </w:t>
      </w:r>
      <w:r w:rsidR="0049226F" w:rsidRPr="00C62B3F">
        <w:rPr>
          <w:b/>
        </w:rPr>
        <w:t xml:space="preserve">prevent homelessness, among others, by </w:t>
      </w:r>
      <w:r w:rsidR="00C7603D">
        <w:rPr>
          <w:b/>
        </w:rPr>
        <w:t>:</w:t>
      </w:r>
    </w:p>
    <w:p w14:paraId="5DDA4198" w14:textId="7145C48B" w:rsidR="00261BF9" w:rsidRDefault="00B05DD4" w:rsidP="00B010A7">
      <w:pPr>
        <w:pStyle w:val="SingleTxtG"/>
        <w:tabs>
          <w:tab w:val="clear" w:pos="1701"/>
          <w:tab w:val="clear" w:pos="2268"/>
          <w:tab w:val="clear" w:pos="2835"/>
        </w:tabs>
        <w:ind w:firstLine="567"/>
        <w:rPr>
          <w:b/>
        </w:rPr>
      </w:pPr>
      <w:r>
        <w:rPr>
          <w:b/>
        </w:rPr>
        <w:t>(a)</w:t>
      </w:r>
      <w:r w:rsidR="00367C28">
        <w:rPr>
          <w:b/>
        </w:rPr>
        <w:tab/>
        <w:t>I</w:t>
      </w:r>
      <w:r w:rsidR="0049226F" w:rsidRPr="00C62B3F">
        <w:rPr>
          <w:b/>
        </w:rPr>
        <w:t>ncreasing shelter capacity</w:t>
      </w:r>
      <w:r w:rsidR="000532CF">
        <w:rPr>
          <w:b/>
        </w:rPr>
        <w:t>, including exclusive places for women,</w:t>
      </w:r>
      <w:r w:rsidR="0049226F" w:rsidRPr="00C62B3F">
        <w:rPr>
          <w:b/>
        </w:rPr>
        <w:t xml:space="preserve"> </w:t>
      </w:r>
      <w:r w:rsidR="0049226F">
        <w:rPr>
          <w:b/>
        </w:rPr>
        <w:t xml:space="preserve">and </w:t>
      </w:r>
      <w:r w:rsidR="0049226F" w:rsidRPr="000532CF">
        <w:rPr>
          <w:b/>
        </w:rPr>
        <w:t>availability of affordable housing throughout the country and</w:t>
      </w:r>
      <w:r w:rsidRPr="000532CF">
        <w:rPr>
          <w:b/>
        </w:rPr>
        <w:t xml:space="preserve"> </w:t>
      </w:r>
    </w:p>
    <w:p w14:paraId="3788648F" w14:textId="268A6DA0" w:rsidR="00261BF9" w:rsidRDefault="00B05DD4" w:rsidP="00B010A7">
      <w:pPr>
        <w:pStyle w:val="SingleTxtG"/>
        <w:tabs>
          <w:tab w:val="clear" w:pos="1701"/>
          <w:tab w:val="clear" w:pos="2268"/>
          <w:tab w:val="clear" w:pos="2835"/>
        </w:tabs>
        <w:ind w:firstLine="567"/>
        <w:rPr>
          <w:b/>
        </w:rPr>
      </w:pPr>
      <w:r w:rsidRPr="000532CF">
        <w:rPr>
          <w:b/>
        </w:rPr>
        <w:t>(b)</w:t>
      </w:r>
      <w:r w:rsidR="00367C28">
        <w:rPr>
          <w:b/>
        </w:rPr>
        <w:tab/>
        <w:t>E</w:t>
      </w:r>
      <w:r w:rsidR="000532CF">
        <w:rPr>
          <w:b/>
        </w:rPr>
        <w:t>nabling social support</w:t>
      </w:r>
      <w:r w:rsidRPr="000532CF">
        <w:rPr>
          <w:b/>
        </w:rPr>
        <w:t xml:space="preserve"> and</w:t>
      </w:r>
      <w:r w:rsidR="000532CF" w:rsidRPr="000532CF">
        <w:rPr>
          <w:b/>
        </w:rPr>
        <w:t xml:space="preserve"> </w:t>
      </w:r>
      <w:r w:rsidR="000532CF">
        <w:rPr>
          <w:b/>
        </w:rPr>
        <w:t>ensuring that housing and rental agencies do not engage in practices that discriminate</w:t>
      </w:r>
      <w:r w:rsidRPr="000532CF">
        <w:rPr>
          <w:b/>
        </w:rPr>
        <w:t xml:space="preserve"> </w:t>
      </w:r>
      <w:r w:rsidR="000532CF" w:rsidRPr="000532CF">
        <w:rPr>
          <w:b/>
        </w:rPr>
        <w:t>against</w:t>
      </w:r>
      <w:r w:rsidR="0049226F" w:rsidRPr="000532CF">
        <w:rPr>
          <w:b/>
        </w:rPr>
        <w:t xml:space="preserve"> groups such as </w:t>
      </w:r>
      <w:r w:rsidR="008A0612">
        <w:rPr>
          <w:b/>
        </w:rPr>
        <w:t xml:space="preserve">persons with poor or no credit history, </w:t>
      </w:r>
      <w:r w:rsidR="0049226F" w:rsidRPr="000532CF">
        <w:rPr>
          <w:b/>
        </w:rPr>
        <w:t>former inma</w:t>
      </w:r>
      <w:r w:rsidR="0049226F" w:rsidRPr="00C62B3F">
        <w:rPr>
          <w:b/>
        </w:rPr>
        <w:t>tes</w:t>
      </w:r>
      <w:r w:rsidR="008A0612">
        <w:rPr>
          <w:b/>
        </w:rPr>
        <w:t xml:space="preserve"> and</w:t>
      </w:r>
      <w:r>
        <w:rPr>
          <w:b/>
        </w:rPr>
        <w:t xml:space="preserve"> those who have served community sentences</w:t>
      </w:r>
      <w:r w:rsidR="000532CF">
        <w:rPr>
          <w:b/>
        </w:rPr>
        <w:t>,</w:t>
      </w:r>
      <w:r w:rsidR="0049226F" w:rsidRPr="00C62B3F">
        <w:rPr>
          <w:b/>
        </w:rPr>
        <w:t xml:space="preserve"> </w:t>
      </w:r>
      <w:r w:rsidR="00FD296D">
        <w:rPr>
          <w:b/>
        </w:rPr>
        <w:t xml:space="preserve">LGBTI persons, </w:t>
      </w:r>
      <w:r w:rsidR="0049226F" w:rsidRPr="00C62B3F">
        <w:rPr>
          <w:b/>
        </w:rPr>
        <w:t>and migrants</w:t>
      </w:r>
      <w:r w:rsidR="0049226F">
        <w:rPr>
          <w:b/>
        </w:rPr>
        <w:t xml:space="preserve">. </w:t>
      </w:r>
    </w:p>
    <w:p w14:paraId="7C75AE10" w14:textId="7E3E4FCD" w:rsidR="0049226F" w:rsidRPr="0049226F" w:rsidRDefault="000532CF" w:rsidP="00B010A7">
      <w:pPr>
        <w:pStyle w:val="SingleTxtG"/>
        <w:numPr>
          <w:ilvl w:val="0"/>
          <w:numId w:val="28"/>
        </w:numPr>
        <w:tabs>
          <w:tab w:val="clear" w:pos="1701"/>
          <w:tab w:val="clear" w:pos="2268"/>
          <w:tab w:val="clear" w:pos="2835"/>
        </w:tabs>
        <w:ind w:left="1134" w:firstLine="0"/>
        <w:rPr>
          <w:b/>
        </w:rPr>
      </w:pPr>
      <w:r>
        <w:rPr>
          <w:b/>
        </w:rPr>
        <w:t>The Committee refers the State pa</w:t>
      </w:r>
      <w:r w:rsidR="00E41C80">
        <w:rPr>
          <w:b/>
        </w:rPr>
        <w:t xml:space="preserve">rty to its general comment No. 4 (1991) on the right to adequate housing. </w:t>
      </w:r>
    </w:p>
    <w:p w14:paraId="49A3A169" w14:textId="77777777" w:rsidR="00155EBC" w:rsidRDefault="00155EBC" w:rsidP="00C87981">
      <w:pPr>
        <w:pStyle w:val="H23G"/>
        <w:tabs>
          <w:tab w:val="clear" w:pos="851"/>
        </w:tabs>
        <w:ind w:firstLine="0"/>
      </w:pPr>
      <w:r w:rsidRPr="004565C0">
        <w:t>Health</w:t>
      </w:r>
      <w:r>
        <w:t xml:space="preserve"> system</w:t>
      </w:r>
    </w:p>
    <w:p w14:paraId="25740DE4" w14:textId="11DDFBF8" w:rsidR="00155EBC" w:rsidRPr="005266C6" w:rsidRDefault="00155EBC" w:rsidP="00EC7082">
      <w:pPr>
        <w:pStyle w:val="SingleTxtG"/>
        <w:numPr>
          <w:ilvl w:val="0"/>
          <w:numId w:val="28"/>
        </w:numPr>
        <w:tabs>
          <w:tab w:val="clear" w:pos="1701"/>
          <w:tab w:val="clear" w:pos="2268"/>
          <w:tab w:val="clear" w:pos="2835"/>
        </w:tabs>
        <w:ind w:left="1134" w:firstLine="0"/>
      </w:pPr>
      <w:r>
        <w:t xml:space="preserve">The Committee is concerned </w:t>
      </w:r>
      <w:r w:rsidR="00742CD6">
        <w:t xml:space="preserve">that primary health care services are not </w:t>
      </w:r>
      <w:r w:rsidR="00A91ECD">
        <w:t>sufficiently</w:t>
      </w:r>
      <w:r w:rsidR="00742CD6">
        <w:t xml:space="preserve"> available and acc</w:t>
      </w:r>
      <w:r w:rsidR="00C26BED">
        <w:t>essible throughout the country</w:t>
      </w:r>
      <w:r w:rsidR="00742CD6">
        <w:t xml:space="preserve">. The Committee is also concerned that </w:t>
      </w:r>
      <w:r w:rsidR="00C26BED">
        <w:t>certain groups experience greater dif</w:t>
      </w:r>
      <w:r w:rsidR="006D448E">
        <w:t>ficulties in accessing services</w:t>
      </w:r>
      <w:r w:rsidR="00F12340">
        <w:t xml:space="preserve"> (art. 12)</w:t>
      </w:r>
      <w:r w:rsidR="006D448E">
        <w:t>.</w:t>
      </w:r>
    </w:p>
    <w:p w14:paraId="7045A803" w14:textId="5CA40E50" w:rsidR="00155EBC" w:rsidRDefault="00742CD6" w:rsidP="00EC7082">
      <w:pPr>
        <w:pStyle w:val="SingleTxtG"/>
        <w:numPr>
          <w:ilvl w:val="0"/>
          <w:numId w:val="28"/>
        </w:numPr>
        <w:tabs>
          <w:tab w:val="clear" w:pos="1701"/>
          <w:tab w:val="clear" w:pos="2268"/>
          <w:tab w:val="clear" w:pos="2835"/>
        </w:tabs>
        <w:ind w:left="1134" w:firstLine="0"/>
        <w:rPr>
          <w:b/>
        </w:rPr>
      </w:pPr>
      <w:proofErr w:type="gramStart"/>
      <w:r>
        <w:rPr>
          <w:b/>
        </w:rPr>
        <w:t xml:space="preserve">Noting the objectives of the State party’s </w:t>
      </w:r>
      <w:r w:rsidR="000271F1">
        <w:rPr>
          <w:b/>
        </w:rPr>
        <w:t xml:space="preserve">restructuring </w:t>
      </w:r>
      <w:r>
        <w:rPr>
          <w:b/>
        </w:rPr>
        <w:t>of health and social services to reduce inequalities in health and well-being and to improve the quality and availability of affordable health and social services, t</w:t>
      </w:r>
      <w:r w:rsidR="00155EBC">
        <w:rPr>
          <w:b/>
        </w:rPr>
        <w:t>he</w:t>
      </w:r>
      <w:r>
        <w:rPr>
          <w:b/>
        </w:rPr>
        <w:t xml:space="preserve"> Committee recommends that </w:t>
      </w:r>
      <w:r w:rsidR="00960554">
        <w:rPr>
          <w:b/>
        </w:rPr>
        <w:t>the State party monitor the impact of the reform on the availability, equal access, affordability and quality of health and social services throughout the country.</w:t>
      </w:r>
      <w:proofErr w:type="gramEnd"/>
      <w:r w:rsidR="00960554">
        <w:rPr>
          <w:b/>
        </w:rPr>
        <w:t xml:space="preserve"> In this regard, </w:t>
      </w:r>
      <w:r>
        <w:rPr>
          <w:b/>
        </w:rPr>
        <w:t xml:space="preserve">the State party </w:t>
      </w:r>
      <w:r w:rsidR="00960554">
        <w:rPr>
          <w:b/>
        </w:rPr>
        <w:t>should ensure</w:t>
      </w:r>
      <w:r>
        <w:rPr>
          <w:b/>
        </w:rPr>
        <w:t xml:space="preserve"> </w:t>
      </w:r>
      <w:r w:rsidR="00960554">
        <w:rPr>
          <w:b/>
        </w:rPr>
        <w:t xml:space="preserve">that </w:t>
      </w:r>
      <w:r>
        <w:rPr>
          <w:b/>
        </w:rPr>
        <w:t>the stronger role for third-sector organisations in the promotion of health and well-being</w:t>
      </w:r>
      <w:r w:rsidRPr="00742CD6">
        <w:rPr>
          <w:b/>
        </w:rPr>
        <w:t xml:space="preserve"> </w:t>
      </w:r>
      <w:proofErr w:type="gramStart"/>
      <w:r>
        <w:rPr>
          <w:b/>
        </w:rPr>
        <w:t>is premised</w:t>
      </w:r>
      <w:proofErr w:type="gramEnd"/>
      <w:r>
        <w:rPr>
          <w:b/>
        </w:rPr>
        <w:t xml:space="preserve"> on the right to health for all. The Committee also recommends that</w:t>
      </w:r>
      <w:r w:rsidR="00960554">
        <w:rPr>
          <w:b/>
        </w:rPr>
        <w:t xml:space="preserve">, in addition to taking account of regional characteristics, the reform should also address the obstacles to access to services by groups such as unemployed persons, older persons and undocumented migrants. </w:t>
      </w:r>
      <w:r w:rsidR="00B05DD4">
        <w:rPr>
          <w:b/>
        </w:rPr>
        <w:t>Recalling its general comment No. 14 (2000)</w:t>
      </w:r>
      <w:r w:rsidR="00AE421F">
        <w:rPr>
          <w:b/>
        </w:rPr>
        <w:t xml:space="preserve"> on the right to the highest attainable standard of health</w:t>
      </w:r>
      <w:r w:rsidR="00B05DD4">
        <w:rPr>
          <w:b/>
        </w:rPr>
        <w:t>,</w:t>
      </w:r>
      <w:r w:rsidR="00960554">
        <w:rPr>
          <w:b/>
        </w:rPr>
        <w:t xml:space="preserve"> the Committee recommends that the State party ensure </w:t>
      </w:r>
      <w:r w:rsidR="00B05DD4">
        <w:rPr>
          <w:b/>
        </w:rPr>
        <w:t>that all persons, including migrants, have in law and in practice equal access to preventive, curative and palliative health services, regardless of their legal status and documentation.</w:t>
      </w:r>
      <w:r w:rsidR="00367C28">
        <w:rPr>
          <w:b/>
        </w:rPr>
        <w:t xml:space="preserve"> </w:t>
      </w:r>
    </w:p>
    <w:p w14:paraId="3B4B602B" w14:textId="77777777" w:rsidR="0049226F" w:rsidRPr="0049226F" w:rsidRDefault="0049226F" w:rsidP="00C87981">
      <w:pPr>
        <w:pStyle w:val="H23G"/>
        <w:tabs>
          <w:tab w:val="clear" w:pos="851"/>
        </w:tabs>
        <w:ind w:firstLine="0"/>
      </w:pPr>
      <w:r>
        <w:t>Mental health</w:t>
      </w:r>
      <w:r w:rsidR="00A34F3E">
        <w:t xml:space="preserve"> care</w:t>
      </w:r>
    </w:p>
    <w:p w14:paraId="55B52CCF" w14:textId="4E35E628" w:rsidR="0049226F" w:rsidRPr="0049226F" w:rsidRDefault="0049226F" w:rsidP="00EC7082">
      <w:pPr>
        <w:pStyle w:val="SingleTxtG"/>
        <w:numPr>
          <w:ilvl w:val="0"/>
          <w:numId w:val="28"/>
        </w:numPr>
        <w:tabs>
          <w:tab w:val="clear" w:pos="1701"/>
          <w:tab w:val="clear" w:pos="2268"/>
          <w:tab w:val="clear" w:pos="2835"/>
        </w:tabs>
        <w:ind w:left="1134" w:firstLine="0"/>
        <w:rPr>
          <w:b/>
        </w:rPr>
      </w:pPr>
      <w:r>
        <w:t>The Committee notes with concern the mental health care deficit in the State party, including due to an uneven geographical coverage</w:t>
      </w:r>
      <w:r w:rsidR="001C7D49">
        <w:t xml:space="preserve"> of services</w:t>
      </w:r>
      <w:r w:rsidR="00097210">
        <w:t xml:space="preserve"> and unequal access to </w:t>
      </w:r>
      <w:r w:rsidR="001C7D49">
        <w:t>appropriate treatment and care</w:t>
      </w:r>
      <w:r w:rsidR="00097210">
        <w:t xml:space="preserve"> for disadvantaged groups</w:t>
      </w:r>
      <w:r>
        <w:t xml:space="preserve"> (art. 12)</w:t>
      </w:r>
      <w:r w:rsidR="006D448E">
        <w:t>.</w:t>
      </w:r>
    </w:p>
    <w:p w14:paraId="2284DD37" w14:textId="45F94151" w:rsidR="00A34F3E" w:rsidRDefault="00097210" w:rsidP="00EC7082">
      <w:pPr>
        <w:pStyle w:val="SingleTxtG"/>
        <w:numPr>
          <w:ilvl w:val="0"/>
          <w:numId w:val="28"/>
        </w:numPr>
        <w:tabs>
          <w:tab w:val="clear" w:pos="1701"/>
          <w:tab w:val="clear" w:pos="2268"/>
          <w:tab w:val="clear" w:pos="2835"/>
        </w:tabs>
        <w:ind w:left="1134" w:firstLine="0"/>
        <w:rPr>
          <w:b/>
        </w:rPr>
      </w:pPr>
      <w:r>
        <w:rPr>
          <w:b/>
        </w:rPr>
        <w:t xml:space="preserve">The Committee </w:t>
      </w:r>
      <w:r w:rsidR="004C3004">
        <w:rPr>
          <w:b/>
        </w:rPr>
        <w:t xml:space="preserve">recommends that </w:t>
      </w:r>
      <w:r w:rsidR="00F40C8F">
        <w:rPr>
          <w:b/>
        </w:rPr>
        <w:t>the revision of the Mental Health Act and the Act on Substance Abuse as well as</w:t>
      </w:r>
      <w:r w:rsidR="00012A62">
        <w:rPr>
          <w:b/>
        </w:rPr>
        <w:t xml:space="preserve"> </w:t>
      </w:r>
      <w:r w:rsidR="004C3004">
        <w:rPr>
          <w:b/>
        </w:rPr>
        <w:t>the implementation of the National Mental Health Strategy</w:t>
      </w:r>
      <w:r w:rsidR="00AE421F">
        <w:rPr>
          <w:b/>
        </w:rPr>
        <w:t xml:space="preserve"> 2020-2030</w:t>
      </w:r>
      <w:r w:rsidR="00F40C8F">
        <w:rPr>
          <w:b/>
        </w:rPr>
        <w:t xml:space="preserve"> and other relevant strategies </w:t>
      </w:r>
      <w:proofErr w:type="gramStart"/>
      <w:r w:rsidR="00F40C8F">
        <w:rPr>
          <w:b/>
        </w:rPr>
        <w:t>be based</w:t>
      </w:r>
      <w:proofErr w:type="gramEnd"/>
      <w:r w:rsidR="00F40C8F">
        <w:rPr>
          <w:b/>
        </w:rPr>
        <w:t xml:space="preserve"> on the right to health. It thus calls on </w:t>
      </w:r>
      <w:r>
        <w:rPr>
          <w:b/>
        </w:rPr>
        <w:t>the State party</w:t>
      </w:r>
      <w:r w:rsidR="00F40C8F">
        <w:rPr>
          <w:b/>
        </w:rPr>
        <w:t xml:space="preserve"> to</w:t>
      </w:r>
      <w:r w:rsidR="00A34F3E">
        <w:rPr>
          <w:b/>
        </w:rPr>
        <w:t>:</w:t>
      </w:r>
    </w:p>
    <w:p w14:paraId="5E273C8D" w14:textId="7247D92C" w:rsidR="00A34F3E" w:rsidRPr="00C87981" w:rsidRDefault="00A34F3E" w:rsidP="00C87981">
      <w:pPr>
        <w:pStyle w:val="SingleTxtG"/>
        <w:rPr>
          <w:b/>
        </w:rPr>
      </w:pPr>
      <w:r w:rsidRPr="00C87981">
        <w:rPr>
          <w:b/>
        </w:rPr>
        <w:tab/>
        <w:t>(a)</w:t>
      </w:r>
      <w:r w:rsidR="00C87981" w:rsidRPr="00C87981">
        <w:rPr>
          <w:b/>
        </w:rPr>
        <w:tab/>
        <w:t>Increase</w:t>
      </w:r>
      <w:r w:rsidR="00097210" w:rsidRPr="00C87981">
        <w:rPr>
          <w:b/>
        </w:rPr>
        <w:t xml:space="preserve"> the availability of mental health care</w:t>
      </w:r>
      <w:r w:rsidR="001C7D49" w:rsidRPr="00C87981">
        <w:rPr>
          <w:b/>
        </w:rPr>
        <w:t>, especially community-based care,</w:t>
      </w:r>
      <w:r w:rsidR="00097210" w:rsidRPr="00C87981">
        <w:rPr>
          <w:b/>
        </w:rPr>
        <w:t xml:space="preserve"> in underserved regions</w:t>
      </w:r>
      <w:r w:rsidR="004C3004" w:rsidRPr="00C87981">
        <w:rPr>
          <w:b/>
        </w:rPr>
        <w:t xml:space="preserve"> and settings, such as schools and prisons</w:t>
      </w:r>
      <w:proofErr w:type="gramStart"/>
      <w:r w:rsidR="00097210" w:rsidRPr="00C87981">
        <w:rPr>
          <w:b/>
        </w:rPr>
        <w:t>;</w:t>
      </w:r>
      <w:proofErr w:type="gramEnd"/>
      <w:r w:rsidR="00097210" w:rsidRPr="00C87981">
        <w:rPr>
          <w:b/>
        </w:rPr>
        <w:t xml:space="preserve"> </w:t>
      </w:r>
    </w:p>
    <w:p w14:paraId="224AE88F" w14:textId="616C942A" w:rsidR="00A34F3E" w:rsidRPr="00C87981" w:rsidRDefault="00A34F3E" w:rsidP="00C87981">
      <w:pPr>
        <w:pStyle w:val="SingleTxtG"/>
        <w:rPr>
          <w:b/>
        </w:rPr>
      </w:pPr>
      <w:r w:rsidRPr="00C87981">
        <w:rPr>
          <w:b/>
        </w:rPr>
        <w:tab/>
      </w:r>
      <w:r w:rsidR="00C87981">
        <w:rPr>
          <w:b/>
        </w:rPr>
        <w:t>(b)</w:t>
      </w:r>
      <w:r w:rsidR="00C87981" w:rsidRPr="00C87981">
        <w:rPr>
          <w:b/>
        </w:rPr>
        <w:tab/>
        <w:t>E</w:t>
      </w:r>
      <w:r w:rsidR="00F40C8F" w:rsidRPr="00C87981">
        <w:rPr>
          <w:b/>
        </w:rPr>
        <w:t xml:space="preserve">nhance </w:t>
      </w:r>
      <w:r w:rsidR="00097210" w:rsidRPr="00C87981">
        <w:rPr>
          <w:b/>
        </w:rPr>
        <w:t>services for preventive and early interventions</w:t>
      </w:r>
      <w:proofErr w:type="gramStart"/>
      <w:r w:rsidR="001C7D49" w:rsidRPr="00C87981">
        <w:rPr>
          <w:b/>
        </w:rPr>
        <w:t>;</w:t>
      </w:r>
      <w:proofErr w:type="gramEnd"/>
      <w:r w:rsidR="00097210" w:rsidRPr="00C87981">
        <w:rPr>
          <w:b/>
        </w:rPr>
        <w:t xml:space="preserve"> </w:t>
      </w:r>
    </w:p>
    <w:p w14:paraId="29E91E46" w14:textId="6FF5ED66" w:rsidR="00FA1655" w:rsidRDefault="00A34F3E" w:rsidP="00C87981">
      <w:pPr>
        <w:pStyle w:val="SingleTxtG"/>
        <w:rPr>
          <w:b/>
        </w:rPr>
      </w:pPr>
      <w:r w:rsidRPr="00C87981">
        <w:rPr>
          <w:b/>
        </w:rPr>
        <w:tab/>
      </w:r>
      <w:r w:rsidR="00C87981">
        <w:rPr>
          <w:b/>
        </w:rPr>
        <w:t>(c)</w:t>
      </w:r>
      <w:r w:rsidR="00C87981" w:rsidRPr="00C87981">
        <w:rPr>
          <w:b/>
        </w:rPr>
        <w:tab/>
        <w:t>I</w:t>
      </w:r>
      <w:r w:rsidR="00F40C8F" w:rsidRPr="00C87981">
        <w:rPr>
          <w:b/>
        </w:rPr>
        <w:t xml:space="preserve">ncrease </w:t>
      </w:r>
      <w:r w:rsidR="004C3004" w:rsidRPr="00C87981">
        <w:rPr>
          <w:b/>
        </w:rPr>
        <w:t>the</w:t>
      </w:r>
      <w:r w:rsidR="00097210" w:rsidRPr="00C87981">
        <w:rPr>
          <w:b/>
        </w:rPr>
        <w:t xml:space="preserve"> availability of affordable mental health care</w:t>
      </w:r>
      <w:r w:rsidR="00C7603D">
        <w:rPr>
          <w:b/>
        </w:rPr>
        <w:t>.</w:t>
      </w:r>
    </w:p>
    <w:p w14:paraId="2EC868AD" w14:textId="25F7AE5E" w:rsidR="0049226F" w:rsidRPr="00C87981" w:rsidRDefault="004C3004" w:rsidP="00B010A7">
      <w:pPr>
        <w:pStyle w:val="SingleTxtG"/>
        <w:numPr>
          <w:ilvl w:val="0"/>
          <w:numId w:val="28"/>
        </w:numPr>
        <w:tabs>
          <w:tab w:val="clear" w:pos="1701"/>
          <w:tab w:val="clear" w:pos="2268"/>
          <w:tab w:val="clear" w:pos="2835"/>
        </w:tabs>
        <w:ind w:left="1134" w:firstLine="0"/>
        <w:rPr>
          <w:b/>
        </w:rPr>
      </w:pPr>
      <w:r w:rsidRPr="00C87981">
        <w:rPr>
          <w:b/>
        </w:rPr>
        <w:t xml:space="preserve">Moreover, it recommends that the Strategy include targeted measures </w:t>
      </w:r>
      <w:r w:rsidR="001C7D49" w:rsidRPr="00C87981">
        <w:rPr>
          <w:b/>
        </w:rPr>
        <w:t xml:space="preserve">for </w:t>
      </w:r>
      <w:r w:rsidRPr="00C87981">
        <w:rPr>
          <w:b/>
        </w:rPr>
        <w:t xml:space="preserve">groups such as </w:t>
      </w:r>
      <w:r w:rsidR="001C7D49" w:rsidRPr="00C87981">
        <w:rPr>
          <w:b/>
        </w:rPr>
        <w:t xml:space="preserve">children and young people, asylum-seekers and refugees, </w:t>
      </w:r>
      <w:r w:rsidRPr="00C87981">
        <w:rPr>
          <w:b/>
        </w:rPr>
        <w:t>low-income households</w:t>
      </w:r>
      <w:r w:rsidR="001C7D49" w:rsidRPr="00C87981">
        <w:rPr>
          <w:b/>
        </w:rPr>
        <w:t>,</w:t>
      </w:r>
      <w:r w:rsidRPr="00C87981">
        <w:rPr>
          <w:b/>
        </w:rPr>
        <w:t xml:space="preserve"> </w:t>
      </w:r>
      <w:r w:rsidR="0049226F" w:rsidRPr="00C87981">
        <w:rPr>
          <w:b/>
        </w:rPr>
        <w:t>and former inmates</w:t>
      </w:r>
      <w:r w:rsidR="001C7D49" w:rsidRPr="00C87981">
        <w:rPr>
          <w:b/>
        </w:rPr>
        <w:t>, addressing obstacles to their access to appropriate services</w:t>
      </w:r>
      <w:r w:rsidR="0049226F" w:rsidRPr="00C87981">
        <w:rPr>
          <w:b/>
        </w:rPr>
        <w:t>.</w:t>
      </w:r>
      <w:r w:rsidRPr="00C87981">
        <w:rPr>
          <w:b/>
        </w:rPr>
        <w:t xml:space="preserve"> </w:t>
      </w:r>
    </w:p>
    <w:p w14:paraId="59648D90" w14:textId="77777777" w:rsidR="003F230B" w:rsidRPr="003F230B" w:rsidRDefault="00857B8B" w:rsidP="00C87981">
      <w:pPr>
        <w:pStyle w:val="H23G"/>
        <w:tabs>
          <w:tab w:val="clear" w:pos="851"/>
        </w:tabs>
        <w:ind w:firstLine="0"/>
      </w:pPr>
      <w:r>
        <w:t>Right to education</w:t>
      </w:r>
    </w:p>
    <w:p w14:paraId="0197A98E" w14:textId="48A14EC7" w:rsidR="0089692F" w:rsidRPr="00C57F84" w:rsidRDefault="00ED3483" w:rsidP="00EC7082">
      <w:pPr>
        <w:pStyle w:val="SingleTxtG"/>
        <w:numPr>
          <w:ilvl w:val="0"/>
          <w:numId w:val="28"/>
        </w:numPr>
        <w:tabs>
          <w:tab w:val="clear" w:pos="1701"/>
          <w:tab w:val="clear" w:pos="2268"/>
          <w:tab w:val="clear" w:pos="2835"/>
        </w:tabs>
        <w:ind w:left="1134" w:firstLine="0"/>
        <w:rPr>
          <w:b/>
        </w:rPr>
      </w:pPr>
      <w:r>
        <w:t>T</w:t>
      </w:r>
      <w:r w:rsidR="003F230B">
        <w:t xml:space="preserve">he Committee notes with concern the findings of the School Health Survey </w:t>
      </w:r>
      <w:r w:rsidR="006E41E3">
        <w:t>highlighting</w:t>
      </w:r>
      <w:r w:rsidR="003F230B">
        <w:t xml:space="preserve"> poorer educational outcomes and bullying at school </w:t>
      </w:r>
      <w:r w:rsidR="00857B8B">
        <w:t>of</w:t>
      </w:r>
      <w:r w:rsidR="003F230B">
        <w:t xml:space="preserve"> pupils of migrant origin, children with disabilities</w:t>
      </w:r>
      <w:r w:rsidR="00C82FAA">
        <w:t>,</w:t>
      </w:r>
      <w:r w:rsidR="003F230B">
        <w:t xml:space="preserve"> children in alternative care</w:t>
      </w:r>
      <w:r w:rsidR="00C82FAA">
        <w:t xml:space="preserve"> and </w:t>
      </w:r>
      <w:r w:rsidR="006E41E3">
        <w:t>LGBTI pupils</w:t>
      </w:r>
      <w:r w:rsidR="003F230B">
        <w:t xml:space="preserve">. </w:t>
      </w:r>
      <w:r w:rsidR="0089692F">
        <w:t xml:space="preserve">The Committee is </w:t>
      </w:r>
      <w:r w:rsidR="0089692F">
        <w:lastRenderedPageBreak/>
        <w:t xml:space="preserve">also concerned that Roma pupils continue to experience discriminatory attitudes at school, report higher rates of dropout, and </w:t>
      </w:r>
      <w:proofErr w:type="gramStart"/>
      <w:r w:rsidR="0089692F">
        <w:t xml:space="preserve">are often </w:t>
      </w:r>
      <w:r w:rsidR="00A91ECD" w:rsidRPr="00A91ECD">
        <w:rPr>
          <w:i/>
        </w:rPr>
        <w:t>de facto</w:t>
      </w:r>
      <w:r w:rsidR="00A91ECD">
        <w:t xml:space="preserve"> </w:t>
      </w:r>
      <w:r w:rsidR="0089692F">
        <w:t>schooled</w:t>
      </w:r>
      <w:proofErr w:type="gramEnd"/>
      <w:r w:rsidR="0089692F">
        <w:t xml:space="preserve"> in segregated classes, in spite of the State party’s philosophy of inclusion in the education syst</w:t>
      </w:r>
      <w:r w:rsidR="006D448E">
        <w:t>em</w:t>
      </w:r>
      <w:r w:rsidR="0089692F">
        <w:t xml:space="preserve"> (arts. 13, 14)</w:t>
      </w:r>
      <w:r w:rsidR="006D448E">
        <w:t>.</w:t>
      </w:r>
    </w:p>
    <w:p w14:paraId="325050B4" w14:textId="7F42AC35" w:rsidR="00C57F84" w:rsidRPr="0089692F" w:rsidRDefault="004C246A" w:rsidP="00EC7082">
      <w:pPr>
        <w:pStyle w:val="SingleTxtG"/>
        <w:numPr>
          <w:ilvl w:val="0"/>
          <w:numId w:val="28"/>
        </w:numPr>
        <w:tabs>
          <w:tab w:val="clear" w:pos="1701"/>
          <w:tab w:val="clear" w:pos="2268"/>
          <w:tab w:val="clear" w:pos="2835"/>
        </w:tabs>
        <w:ind w:left="1134" w:firstLine="0"/>
        <w:rPr>
          <w:b/>
        </w:rPr>
      </w:pPr>
      <w:proofErr w:type="gramStart"/>
      <w:r w:rsidRPr="0089692F">
        <w:rPr>
          <w:b/>
        </w:rPr>
        <w:t xml:space="preserve">Recalling </w:t>
      </w:r>
      <w:r w:rsidR="00C57F84" w:rsidRPr="0089692F">
        <w:rPr>
          <w:b/>
        </w:rPr>
        <w:t>th</w:t>
      </w:r>
      <w:r w:rsidR="0089692F">
        <w:rPr>
          <w:b/>
        </w:rPr>
        <w:t xml:space="preserve">at bullying and discrimination are impediments to the enjoyment </w:t>
      </w:r>
      <w:r w:rsidR="000271F1">
        <w:rPr>
          <w:b/>
        </w:rPr>
        <w:t xml:space="preserve">of the </w:t>
      </w:r>
      <w:r w:rsidR="0089692F">
        <w:rPr>
          <w:b/>
        </w:rPr>
        <w:t xml:space="preserve">right to education, </w:t>
      </w:r>
      <w:r w:rsidRPr="0089692F">
        <w:rPr>
          <w:b/>
        </w:rPr>
        <w:t>t</w:t>
      </w:r>
      <w:r w:rsidR="00C82FAA" w:rsidRPr="0089692F">
        <w:rPr>
          <w:b/>
        </w:rPr>
        <w:t xml:space="preserve">he Committee </w:t>
      </w:r>
      <w:r w:rsidRPr="0089692F">
        <w:rPr>
          <w:b/>
        </w:rPr>
        <w:t xml:space="preserve">recommends that the State party incorporate </w:t>
      </w:r>
      <w:r w:rsidR="00C57F84" w:rsidRPr="0089692F">
        <w:rPr>
          <w:b/>
        </w:rPr>
        <w:t xml:space="preserve">the promotion of understanding and tolerance as well as </w:t>
      </w:r>
      <w:r w:rsidRPr="0089692F">
        <w:rPr>
          <w:b/>
        </w:rPr>
        <w:t>the prohibition of discrimination</w:t>
      </w:r>
      <w:r w:rsidR="00C57F84" w:rsidRPr="0089692F">
        <w:rPr>
          <w:b/>
        </w:rPr>
        <w:t xml:space="preserve"> in school curricula and provide the necessary training thereon, including on the provisions of the Non-Discrimination Act and the Act on Equality between Women and Men, to teaching personnel.</w:t>
      </w:r>
      <w:proofErr w:type="gramEnd"/>
      <w:r w:rsidR="00C57F84" w:rsidRPr="0089692F">
        <w:rPr>
          <w:b/>
        </w:rPr>
        <w:t xml:space="preserve"> It also recommends that the State party monitor the </w:t>
      </w:r>
      <w:r w:rsidR="0089692F">
        <w:rPr>
          <w:b/>
        </w:rPr>
        <w:t>effectiveness</w:t>
      </w:r>
      <w:r w:rsidR="00C57F84" w:rsidRPr="0089692F">
        <w:rPr>
          <w:b/>
        </w:rPr>
        <w:t xml:space="preserve"> of the </w:t>
      </w:r>
      <w:r w:rsidR="000271F1" w:rsidRPr="00B010A7">
        <w:rPr>
          <w:b/>
          <w:i/>
        </w:rPr>
        <w:t>P</w:t>
      </w:r>
      <w:r w:rsidR="00C57F84" w:rsidRPr="00B010A7">
        <w:rPr>
          <w:b/>
          <w:i/>
        </w:rPr>
        <w:t>rogram</w:t>
      </w:r>
      <w:r w:rsidR="0089692F" w:rsidRPr="00B010A7">
        <w:rPr>
          <w:b/>
          <w:i/>
        </w:rPr>
        <w:t>me</w:t>
      </w:r>
      <w:r w:rsidR="00C57F84" w:rsidRPr="00B010A7">
        <w:rPr>
          <w:b/>
          <w:i/>
        </w:rPr>
        <w:t xml:space="preserve"> for the prevention of discrimination and bullying </w:t>
      </w:r>
      <w:r w:rsidR="0089692F" w:rsidRPr="00B010A7">
        <w:rPr>
          <w:b/>
          <w:i/>
        </w:rPr>
        <w:t>in school</w:t>
      </w:r>
      <w:r w:rsidR="0089692F">
        <w:rPr>
          <w:b/>
        </w:rPr>
        <w:t xml:space="preserve"> </w:t>
      </w:r>
      <w:r w:rsidR="00C57F84" w:rsidRPr="0089692F">
        <w:rPr>
          <w:b/>
        </w:rPr>
        <w:t xml:space="preserve">that it is implementing. </w:t>
      </w:r>
      <w:r w:rsidR="0089692F">
        <w:rPr>
          <w:b/>
        </w:rPr>
        <w:t>Moreover, t</w:t>
      </w:r>
      <w:r w:rsidR="00C57F84" w:rsidRPr="0089692F">
        <w:rPr>
          <w:b/>
        </w:rPr>
        <w:t>he Committee reiterates its previous recommendation, urging the State party to ensure equal access to inclusive education for all children</w:t>
      </w:r>
      <w:r w:rsidR="0089692F">
        <w:rPr>
          <w:b/>
        </w:rPr>
        <w:t xml:space="preserve">, including children </w:t>
      </w:r>
      <w:r w:rsidR="000271F1">
        <w:rPr>
          <w:b/>
        </w:rPr>
        <w:t>with migration</w:t>
      </w:r>
      <w:r w:rsidR="0089692F">
        <w:rPr>
          <w:b/>
        </w:rPr>
        <w:t xml:space="preserve"> background and Roma children. Furthermore, it recommends that the State party</w:t>
      </w:r>
      <w:r w:rsidR="00367C28">
        <w:rPr>
          <w:b/>
        </w:rPr>
        <w:t xml:space="preserve"> </w:t>
      </w:r>
      <w:r w:rsidR="0089692F">
        <w:rPr>
          <w:b/>
        </w:rPr>
        <w:t>address the social</w:t>
      </w:r>
      <w:r w:rsidR="000271F1">
        <w:rPr>
          <w:b/>
        </w:rPr>
        <w:t>-economic</w:t>
      </w:r>
      <w:r w:rsidR="0089692F">
        <w:rPr>
          <w:b/>
        </w:rPr>
        <w:t xml:space="preserve"> root causes of school drop-out</w:t>
      </w:r>
      <w:r w:rsidR="00097210">
        <w:rPr>
          <w:b/>
        </w:rPr>
        <w:t xml:space="preserve"> and ensure that delivery systems at all levels of education respond to the needs of students from different social and cultural backgrounds</w:t>
      </w:r>
      <w:r w:rsidR="0089692F">
        <w:rPr>
          <w:b/>
        </w:rPr>
        <w:t xml:space="preserve">. </w:t>
      </w:r>
    </w:p>
    <w:p w14:paraId="4E34D1FF" w14:textId="4DE7353D" w:rsidR="00EA623D" w:rsidRDefault="00C87981" w:rsidP="00C87981">
      <w:pPr>
        <w:pStyle w:val="H23G"/>
        <w:tabs>
          <w:tab w:val="clear" w:pos="851"/>
        </w:tabs>
        <w:ind w:firstLine="0"/>
      </w:pPr>
      <w:r>
        <w:tab/>
      </w:r>
      <w:r w:rsidR="00EA623D">
        <w:t>Linguistic rights</w:t>
      </w:r>
    </w:p>
    <w:p w14:paraId="5B69095A" w14:textId="051A1BBC" w:rsidR="00EA623D" w:rsidRPr="005266C6" w:rsidRDefault="00FA1655" w:rsidP="00EC7082">
      <w:pPr>
        <w:pStyle w:val="SingleTxtG"/>
        <w:numPr>
          <w:ilvl w:val="0"/>
          <w:numId w:val="28"/>
        </w:numPr>
        <w:tabs>
          <w:tab w:val="clear" w:pos="1701"/>
          <w:tab w:val="clear" w:pos="2268"/>
          <w:tab w:val="clear" w:pos="2835"/>
        </w:tabs>
        <w:ind w:left="1134" w:firstLine="0"/>
      </w:pPr>
      <w:r>
        <w:t xml:space="preserve">While noting that online teaching of Sámi languages </w:t>
      </w:r>
      <w:proofErr w:type="gramStart"/>
      <w:r>
        <w:t>has been rolled out</w:t>
      </w:r>
      <w:proofErr w:type="gramEnd"/>
      <w:r>
        <w:t>, t</w:t>
      </w:r>
      <w:r w:rsidR="00EA623D">
        <w:t>h</w:t>
      </w:r>
      <w:r w:rsidR="003405D0">
        <w:t>e Committee is concerned that education of and in Sámi languages remain</w:t>
      </w:r>
      <w:r w:rsidR="00B06234">
        <w:t>s</w:t>
      </w:r>
      <w:r w:rsidR="003405D0">
        <w:t xml:space="preserve"> </w:t>
      </w:r>
      <w:r w:rsidR="00B06234">
        <w:t>insufficient</w:t>
      </w:r>
      <w:r w:rsidR="003405D0">
        <w:t>, especially outside the Sámi homeland.</w:t>
      </w:r>
      <w:r w:rsidR="007A2509">
        <w:t xml:space="preserve"> It is also concerned at the fact that the right of the Sámi to receive services in their languages, as provided by the Sámi Languag</w:t>
      </w:r>
      <w:r w:rsidR="006D448E">
        <w:t xml:space="preserve">e Act, </w:t>
      </w:r>
      <w:proofErr w:type="gramStart"/>
      <w:r w:rsidR="006D448E">
        <w:t>is not always guaranteed</w:t>
      </w:r>
      <w:proofErr w:type="gramEnd"/>
      <w:r w:rsidR="00BF3001">
        <w:t xml:space="preserve"> (arts. 13-15)</w:t>
      </w:r>
      <w:r w:rsidR="006D448E">
        <w:t>.</w:t>
      </w:r>
      <w:r w:rsidR="00367C28">
        <w:t xml:space="preserve"> </w:t>
      </w:r>
    </w:p>
    <w:p w14:paraId="67989E74" w14:textId="77777777" w:rsidR="00EA623D" w:rsidRDefault="00EA623D" w:rsidP="00EC7082">
      <w:pPr>
        <w:pStyle w:val="SingleTxtG"/>
        <w:numPr>
          <w:ilvl w:val="0"/>
          <w:numId w:val="28"/>
        </w:numPr>
        <w:tabs>
          <w:tab w:val="clear" w:pos="1701"/>
          <w:tab w:val="clear" w:pos="2268"/>
          <w:tab w:val="clear" w:pos="2835"/>
        </w:tabs>
        <w:ind w:left="1134" w:firstLine="0"/>
        <w:rPr>
          <w:b/>
        </w:rPr>
      </w:pPr>
      <w:r>
        <w:rPr>
          <w:b/>
        </w:rPr>
        <w:t>The</w:t>
      </w:r>
      <w:r w:rsidR="003405D0">
        <w:rPr>
          <w:b/>
        </w:rPr>
        <w:t xml:space="preserve"> Committee recommends that the State party recognize education of and in Sámi languages as a right. </w:t>
      </w:r>
      <w:proofErr w:type="gramStart"/>
      <w:r w:rsidR="003405D0">
        <w:rPr>
          <w:b/>
        </w:rPr>
        <w:t>In this regard, it recommends that</w:t>
      </w:r>
      <w:r w:rsidR="003F230B">
        <w:rPr>
          <w:b/>
        </w:rPr>
        <w:t xml:space="preserve"> in the context of the implementation of the revised Strategy for the National Languages and the language policy programme,</w:t>
      </w:r>
      <w:r w:rsidR="003405D0">
        <w:rPr>
          <w:b/>
        </w:rPr>
        <w:t xml:space="preserve"> the State party</w:t>
      </w:r>
      <w:r w:rsidR="00B06234">
        <w:rPr>
          <w:b/>
        </w:rPr>
        <w:t xml:space="preserve"> improve the availability, accessibility and quality of Sámi languages education by</w:t>
      </w:r>
      <w:r w:rsidR="003405D0">
        <w:rPr>
          <w:b/>
        </w:rPr>
        <w:t xml:space="preserve"> (a)</w:t>
      </w:r>
      <w:r w:rsidR="00B06234">
        <w:rPr>
          <w:b/>
        </w:rPr>
        <w:t xml:space="preserve"> allocating</w:t>
      </w:r>
      <w:r w:rsidR="003405D0">
        <w:rPr>
          <w:b/>
        </w:rPr>
        <w:t xml:space="preserve"> more resources for the development of teaching materials, (b) train</w:t>
      </w:r>
      <w:r w:rsidR="00B06234">
        <w:rPr>
          <w:b/>
        </w:rPr>
        <w:t>ing</w:t>
      </w:r>
      <w:r w:rsidR="003405D0">
        <w:rPr>
          <w:b/>
        </w:rPr>
        <w:t xml:space="preserve"> more Sámi languages teachers, (c) expand</w:t>
      </w:r>
      <w:r w:rsidR="00B06234">
        <w:rPr>
          <w:b/>
        </w:rPr>
        <w:t>ing</w:t>
      </w:r>
      <w:r w:rsidR="003405D0">
        <w:rPr>
          <w:b/>
        </w:rPr>
        <w:t xml:space="preserve"> the reach </w:t>
      </w:r>
      <w:r w:rsidR="00FA0426">
        <w:rPr>
          <w:b/>
        </w:rPr>
        <w:t xml:space="preserve">outside the Sámi homeland </w:t>
      </w:r>
      <w:r w:rsidR="003405D0">
        <w:rPr>
          <w:b/>
        </w:rPr>
        <w:t>of existing Sámi languages courses</w:t>
      </w:r>
      <w:r w:rsidR="00FA0426">
        <w:rPr>
          <w:b/>
        </w:rPr>
        <w:t>,</w:t>
      </w:r>
      <w:r w:rsidR="003405D0">
        <w:rPr>
          <w:b/>
        </w:rPr>
        <w:t xml:space="preserve"> </w:t>
      </w:r>
      <w:r w:rsidR="00FA0426">
        <w:rPr>
          <w:b/>
        </w:rPr>
        <w:t>including those delivered through distance learning</w:t>
      </w:r>
      <w:r w:rsidR="003405D0">
        <w:rPr>
          <w:b/>
        </w:rPr>
        <w:t>.</w:t>
      </w:r>
      <w:proofErr w:type="gramEnd"/>
      <w:r w:rsidR="007A2509">
        <w:rPr>
          <w:b/>
        </w:rPr>
        <w:t xml:space="preserve"> Moreover, the Committee recommends that the State party ensure that actors in the health and social care sectors, including private ones and outside the Sámi </w:t>
      </w:r>
      <w:proofErr w:type="gramStart"/>
      <w:r w:rsidR="007A2509">
        <w:rPr>
          <w:b/>
        </w:rPr>
        <w:t>homeland,</w:t>
      </w:r>
      <w:proofErr w:type="gramEnd"/>
      <w:r w:rsidR="007A2509">
        <w:rPr>
          <w:b/>
        </w:rPr>
        <w:t xml:space="preserve"> comply with the obligation under the Sámi Language Act, to guarantee service provision in the Sámi languages.</w:t>
      </w:r>
    </w:p>
    <w:p w14:paraId="6503C365" w14:textId="77777777" w:rsidR="00EA623D" w:rsidRPr="009F7781" w:rsidRDefault="000331F6" w:rsidP="009F7781">
      <w:pPr>
        <w:pStyle w:val="H23G"/>
        <w:tabs>
          <w:tab w:val="clear" w:pos="851"/>
        </w:tabs>
        <w:ind w:firstLine="0"/>
      </w:pPr>
      <w:r w:rsidRPr="009F7781">
        <w:t>Cultural r</w:t>
      </w:r>
      <w:r w:rsidR="00EA623D" w:rsidRPr="009F7781">
        <w:t xml:space="preserve">ights of </w:t>
      </w:r>
      <w:r w:rsidRPr="009F7781">
        <w:t xml:space="preserve">the Sámi </w:t>
      </w:r>
    </w:p>
    <w:p w14:paraId="5C6BF22D" w14:textId="55A6BB96" w:rsidR="00EA623D" w:rsidRPr="005266C6" w:rsidRDefault="00EA623D" w:rsidP="00EC7082">
      <w:pPr>
        <w:pStyle w:val="SingleTxtG"/>
        <w:numPr>
          <w:ilvl w:val="0"/>
          <w:numId w:val="28"/>
        </w:numPr>
        <w:tabs>
          <w:tab w:val="clear" w:pos="1701"/>
          <w:tab w:val="clear" w:pos="2268"/>
          <w:tab w:val="clear" w:pos="2835"/>
        </w:tabs>
        <w:ind w:left="1134" w:firstLine="0"/>
      </w:pPr>
      <w:r>
        <w:t xml:space="preserve">The Committee is concerned </w:t>
      </w:r>
      <w:r w:rsidR="0041271B">
        <w:t xml:space="preserve">that </w:t>
      </w:r>
      <w:r w:rsidR="000331F6">
        <w:t xml:space="preserve">legislative changes, infrastructure projects and incursions into their lands have eroded </w:t>
      </w:r>
      <w:r w:rsidR="0041271B">
        <w:t xml:space="preserve">the rights of the Sámi to </w:t>
      </w:r>
      <w:r w:rsidR="002827B4">
        <w:t>maintain</w:t>
      </w:r>
      <w:r w:rsidR="0041271B">
        <w:t xml:space="preserve"> their </w:t>
      </w:r>
      <w:r w:rsidR="000331F6">
        <w:t xml:space="preserve">way of life and </w:t>
      </w:r>
      <w:r w:rsidR="0041271B">
        <w:t xml:space="preserve">traditional </w:t>
      </w:r>
      <w:r w:rsidR="00AF10D8">
        <w:t>livelihood</w:t>
      </w:r>
      <w:r w:rsidR="002827B4">
        <w:t>s</w:t>
      </w:r>
      <w:r w:rsidR="0041271B">
        <w:t>, including reindeer husbandry and fishing</w:t>
      </w:r>
      <w:r>
        <w:t>.</w:t>
      </w:r>
      <w:r w:rsidR="00AF10D8">
        <w:t xml:space="preserve"> </w:t>
      </w:r>
      <w:r w:rsidR="002827B4">
        <w:t>It is also concerned at the lack of a legal obligation to conduct consultations with a view to obtaining the Sámi’s free, prior and informed consent on matters that affect their lands and resources. Moreover, the Committee</w:t>
      </w:r>
      <w:r w:rsidR="00AF10D8">
        <w:t xml:space="preserve"> regrets the delay in the ratification of the</w:t>
      </w:r>
      <w:r w:rsidR="002827B4">
        <w:t xml:space="preserve"> ILO’s Indigenous</w:t>
      </w:r>
      <w:r w:rsidR="008E7B33">
        <w:t xml:space="preserve"> and Tribal Peoples Convention No.</w:t>
      </w:r>
      <w:r w:rsidR="006D448E">
        <w:t xml:space="preserve"> 169</w:t>
      </w:r>
      <w:r>
        <w:t xml:space="preserve"> (arts. 15, 11</w:t>
      </w:r>
      <w:r w:rsidR="000271F1">
        <w:t>,</w:t>
      </w:r>
      <w:r>
        <w:t xml:space="preserve"> 2(2)</w:t>
      </w:r>
      <w:r w:rsidR="000271F1">
        <w:t xml:space="preserve"> and 1(1)</w:t>
      </w:r>
      <w:r>
        <w:t>)</w:t>
      </w:r>
      <w:r w:rsidR="006D448E">
        <w:t>.</w:t>
      </w:r>
    </w:p>
    <w:p w14:paraId="3436852F" w14:textId="77777777" w:rsidR="00066CF8" w:rsidRPr="006E48D7" w:rsidRDefault="00EA623D" w:rsidP="00EC7082">
      <w:pPr>
        <w:pStyle w:val="SingleTxtG"/>
        <w:numPr>
          <w:ilvl w:val="0"/>
          <w:numId w:val="28"/>
        </w:numPr>
        <w:tabs>
          <w:tab w:val="clear" w:pos="1701"/>
          <w:tab w:val="clear" w:pos="2268"/>
          <w:tab w:val="clear" w:pos="2835"/>
        </w:tabs>
        <w:ind w:left="1134" w:firstLine="0"/>
        <w:rPr>
          <w:b/>
        </w:rPr>
      </w:pPr>
      <w:r w:rsidRPr="006E48D7">
        <w:rPr>
          <w:b/>
        </w:rPr>
        <w:t>The</w:t>
      </w:r>
      <w:r w:rsidR="00BA5ADD" w:rsidRPr="006E48D7">
        <w:rPr>
          <w:b/>
        </w:rPr>
        <w:t xml:space="preserve"> </w:t>
      </w:r>
      <w:r w:rsidR="00AF10D8" w:rsidRPr="006E48D7">
        <w:rPr>
          <w:b/>
        </w:rPr>
        <w:t xml:space="preserve">Committee </w:t>
      </w:r>
      <w:r w:rsidR="002827B4" w:rsidRPr="006E48D7">
        <w:rPr>
          <w:b/>
        </w:rPr>
        <w:t xml:space="preserve">urges the State party </w:t>
      </w:r>
      <w:r w:rsidR="000331F6" w:rsidRPr="006E48D7">
        <w:rPr>
          <w:b/>
        </w:rPr>
        <w:t xml:space="preserve">to act upon instances of infringements on the rights of the Sámi to maintain their culture, way of life and traditional livelihoods. In this regard, it recommends that the State party assess the impact of existing laws on these rights and </w:t>
      </w:r>
      <w:r w:rsidR="006E41E3" w:rsidRPr="006E48D7">
        <w:rPr>
          <w:b/>
        </w:rPr>
        <w:t>bring</w:t>
      </w:r>
      <w:r w:rsidR="000331F6" w:rsidRPr="006E48D7">
        <w:rPr>
          <w:b/>
        </w:rPr>
        <w:t xml:space="preserve"> the necessary </w:t>
      </w:r>
      <w:r w:rsidR="006E41E3" w:rsidRPr="006E48D7">
        <w:rPr>
          <w:b/>
        </w:rPr>
        <w:t>amendments</w:t>
      </w:r>
      <w:r w:rsidR="000331F6" w:rsidRPr="006E48D7">
        <w:rPr>
          <w:b/>
        </w:rPr>
        <w:t xml:space="preserve">, including in the context of the revision of the Reindeer Husbandry Act. Moreover, the Committee urges the State party to strengthen the legal </w:t>
      </w:r>
      <w:r w:rsidR="00655221" w:rsidRPr="006E48D7">
        <w:rPr>
          <w:b/>
        </w:rPr>
        <w:t xml:space="preserve">recognition of the Sámi as indigenous peoples and the legal and procedural </w:t>
      </w:r>
      <w:r w:rsidR="000331F6" w:rsidRPr="006E48D7">
        <w:rPr>
          <w:b/>
        </w:rPr>
        <w:t xml:space="preserve">guarantees for obtaining the Sámi’s free, prior and informed consent </w:t>
      </w:r>
      <w:r w:rsidR="00A3490C" w:rsidRPr="006E48D7">
        <w:rPr>
          <w:b/>
        </w:rPr>
        <w:t>in line with international standards</w:t>
      </w:r>
      <w:r w:rsidR="000331F6" w:rsidRPr="006E48D7">
        <w:rPr>
          <w:b/>
        </w:rPr>
        <w:t>. It also encourages the State party to expedite the ratification of the ILO Convention on</w:t>
      </w:r>
      <w:r w:rsidR="008E7B33" w:rsidRPr="006E48D7">
        <w:rPr>
          <w:b/>
        </w:rPr>
        <w:t xml:space="preserve"> Indigenous and Tribal Peoples No.</w:t>
      </w:r>
      <w:r w:rsidR="000331F6" w:rsidRPr="006E48D7">
        <w:rPr>
          <w:b/>
        </w:rPr>
        <w:t xml:space="preserve"> 169. The Committee refers the State party to its general comment </w:t>
      </w:r>
      <w:r w:rsidR="008E7B33" w:rsidRPr="006E48D7">
        <w:rPr>
          <w:b/>
        </w:rPr>
        <w:t>No.</w:t>
      </w:r>
      <w:r w:rsidR="000331F6" w:rsidRPr="006E48D7">
        <w:rPr>
          <w:b/>
        </w:rPr>
        <w:t xml:space="preserve"> 21 (2009) on the right of everyone to take part in cultural life.</w:t>
      </w:r>
    </w:p>
    <w:p w14:paraId="2AA037F0" w14:textId="77777777" w:rsidR="00AA50F9" w:rsidRDefault="00AA50F9" w:rsidP="00AA50F9">
      <w:pPr>
        <w:pStyle w:val="H1G"/>
      </w:pPr>
      <w:r>
        <w:lastRenderedPageBreak/>
        <w:tab/>
      </w:r>
      <w:r w:rsidRPr="00954236">
        <w:t>D.</w:t>
      </w:r>
      <w:r w:rsidRPr="00954236">
        <w:tab/>
        <w:t>Other recommendations</w:t>
      </w:r>
    </w:p>
    <w:p w14:paraId="5F8EC030" w14:textId="34C3602C" w:rsidR="00AA50F9" w:rsidRPr="00C87981" w:rsidRDefault="00666349" w:rsidP="00EC7082">
      <w:pPr>
        <w:pStyle w:val="SingleTxtG"/>
        <w:numPr>
          <w:ilvl w:val="0"/>
          <w:numId w:val="28"/>
        </w:numPr>
        <w:tabs>
          <w:tab w:val="clear" w:pos="1701"/>
          <w:tab w:val="clear" w:pos="2268"/>
          <w:tab w:val="clear" w:pos="2835"/>
        </w:tabs>
        <w:ind w:left="1134" w:firstLine="0"/>
        <w:rPr>
          <w:b/>
          <w:bCs/>
        </w:rPr>
      </w:pPr>
      <w:r w:rsidRPr="00320C1D">
        <w:rPr>
          <w:b/>
          <w:bCs/>
        </w:rPr>
        <w:t>The Committee notes the State party’s assessment regarding the progress in the implementation of Agenda 2030 in areas relating to social su</w:t>
      </w:r>
      <w:r>
        <w:rPr>
          <w:b/>
          <w:bCs/>
        </w:rPr>
        <w:t xml:space="preserve">stainability, economy and work. </w:t>
      </w:r>
      <w:r w:rsidRPr="00320C1D">
        <w:rPr>
          <w:b/>
          <w:bCs/>
        </w:rPr>
        <w:t>The Committee also renews its recommendation to take fully into account obligations under the Covenant and the objective of full realization of the rights enshrined therein in the implementation of the 2030 Agenda at the national level, including in the recovery from the COVID-19 pandemic. The Committee moreover recommends that the State party support the global commitment of the Decad</w:t>
      </w:r>
      <w:r w:rsidR="00DF1F87">
        <w:rPr>
          <w:b/>
          <w:bCs/>
        </w:rPr>
        <w:t>e of Action to achieve the SDGs</w:t>
      </w:r>
      <w:r w:rsidR="00AA50F9" w:rsidRPr="00635994">
        <w:rPr>
          <w:b/>
          <w:bCs/>
        </w:rPr>
        <w:t>.</w:t>
      </w:r>
      <w:r w:rsidR="00AA50F9" w:rsidRPr="00C87981">
        <w:rPr>
          <w:b/>
          <w:bCs/>
        </w:rPr>
        <w:t xml:space="preserve"> </w:t>
      </w:r>
    </w:p>
    <w:p w14:paraId="026FCEA7" w14:textId="77777777" w:rsidR="00AA50F9" w:rsidRPr="00C87981" w:rsidRDefault="00AA50F9" w:rsidP="00EC7082">
      <w:pPr>
        <w:pStyle w:val="SingleTxtG"/>
        <w:numPr>
          <w:ilvl w:val="0"/>
          <w:numId w:val="28"/>
        </w:numPr>
        <w:tabs>
          <w:tab w:val="clear" w:pos="1701"/>
          <w:tab w:val="clear" w:pos="2268"/>
          <w:tab w:val="clear" w:pos="2835"/>
        </w:tabs>
        <w:ind w:left="1134" w:firstLine="0"/>
        <w:rPr>
          <w:b/>
          <w:bCs/>
        </w:rPr>
      </w:pPr>
      <w:r w:rsidRPr="00C87981">
        <w:rPr>
          <w:b/>
          <w:bCs/>
        </w:rPr>
        <w:t xml:space="preserve">The Committee </w:t>
      </w:r>
      <w:r w:rsidR="00F30044" w:rsidRPr="00C87981">
        <w:rPr>
          <w:b/>
          <w:bCs/>
        </w:rPr>
        <w:t xml:space="preserve">recommends that the State party take account of the present concluding observations in the preparation of its third National Action Plan on Fundamental and Human Rights. It also </w:t>
      </w:r>
      <w:r w:rsidRPr="00C87981">
        <w:rPr>
          <w:b/>
          <w:bCs/>
        </w:rPr>
        <w:t xml:space="preserve">requests that </w:t>
      </w:r>
      <w:r w:rsidR="00F30044" w:rsidRPr="00C87981">
        <w:rPr>
          <w:b/>
          <w:bCs/>
        </w:rPr>
        <w:t>they be</w:t>
      </w:r>
      <w:r w:rsidRPr="00C87981">
        <w:rPr>
          <w:b/>
          <w:bCs/>
        </w:rPr>
        <w:t xml:space="preserve"> disseminate</w:t>
      </w:r>
      <w:r w:rsidR="00F30044" w:rsidRPr="00C87981">
        <w:rPr>
          <w:b/>
          <w:bCs/>
        </w:rPr>
        <w:t>d</w:t>
      </w:r>
      <w:r w:rsidRPr="00C87981">
        <w:rPr>
          <w:b/>
          <w:bCs/>
        </w:rPr>
        <w:t xml:space="preserve"> widely at all levels of society, including at the national</w:t>
      </w:r>
      <w:r w:rsidR="00F30044" w:rsidRPr="00C87981">
        <w:rPr>
          <w:b/>
          <w:bCs/>
        </w:rPr>
        <w:t xml:space="preserve"> </w:t>
      </w:r>
      <w:r w:rsidRPr="00C87981">
        <w:rPr>
          <w:b/>
          <w:bCs/>
        </w:rPr>
        <w:t xml:space="preserve">and municipal levels, in particular among parliamentarians, public officials and judicial authorities, and that it inform the Committee in its next periodic report about the steps taken to implement them. The Committee encourages the State party to </w:t>
      </w:r>
      <w:r w:rsidR="00D94E91" w:rsidRPr="00C87981">
        <w:rPr>
          <w:b/>
          <w:bCs/>
        </w:rPr>
        <w:t>continue its practice of engaging</w:t>
      </w:r>
      <w:r w:rsidRPr="00C87981">
        <w:rPr>
          <w:b/>
          <w:bCs/>
        </w:rPr>
        <w:t xml:space="preserve"> with the </w:t>
      </w:r>
      <w:r w:rsidR="00F30044" w:rsidRPr="00C87981">
        <w:rPr>
          <w:rFonts w:eastAsia="Calibri"/>
          <w:b/>
          <w:szCs w:val="22"/>
        </w:rPr>
        <w:t>Finnish Human Rights Centre</w:t>
      </w:r>
      <w:r w:rsidRPr="00C87981">
        <w:rPr>
          <w:b/>
          <w:bCs/>
        </w:rPr>
        <w:t>, non-governmental organizations and other members of civil society in the follow-up to the present concluding observations and in the process of consultation at the national level prior to the submission of its next periodic report.</w:t>
      </w:r>
    </w:p>
    <w:p w14:paraId="16578EA6" w14:textId="6FC6F996" w:rsidR="00AA50F9" w:rsidRPr="00C87981" w:rsidRDefault="00AA50F9" w:rsidP="00EC7082">
      <w:pPr>
        <w:pStyle w:val="SingleTxtG"/>
        <w:numPr>
          <w:ilvl w:val="0"/>
          <w:numId w:val="28"/>
        </w:numPr>
        <w:tabs>
          <w:tab w:val="clear" w:pos="1701"/>
          <w:tab w:val="clear" w:pos="2268"/>
          <w:tab w:val="clear" w:pos="2835"/>
        </w:tabs>
        <w:ind w:left="1134" w:firstLine="0"/>
        <w:rPr>
          <w:b/>
          <w:bCs/>
        </w:rPr>
      </w:pPr>
      <w:r w:rsidRPr="00C87981">
        <w:rPr>
          <w:b/>
          <w:bCs/>
        </w:rPr>
        <w:t xml:space="preserve">In accordance with the procedure on follow-up to concluding observations adopted by the Committee, the State party is requested to provide, within 24 months of the adoption of the present concluding observations, information on the implementation of the recommendations contained in paragraphs </w:t>
      </w:r>
      <w:r w:rsidR="00162798" w:rsidRPr="005940E9">
        <w:rPr>
          <w:b/>
          <w:bCs/>
        </w:rPr>
        <w:t>7 (business and human rights)</w:t>
      </w:r>
      <w:r w:rsidRPr="005940E9">
        <w:rPr>
          <w:b/>
          <w:bCs/>
        </w:rPr>
        <w:t>,</w:t>
      </w:r>
      <w:r w:rsidR="005940E9">
        <w:rPr>
          <w:b/>
          <w:bCs/>
        </w:rPr>
        <w:t xml:space="preserve"> </w:t>
      </w:r>
      <w:r w:rsidR="00162798" w:rsidRPr="005940E9">
        <w:rPr>
          <w:b/>
          <w:bCs/>
        </w:rPr>
        <w:t>9 (access to COVID-19 vaccines and drugs)</w:t>
      </w:r>
      <w:r w:rsidR="005940E9">
        <w:rPr>
          <w:b/>
          <w:bCs/>
        </w:rPr>
        <w:t xml:space="preserve"> </w:t>
      </w:r>
      <w:r w:rsidRPr="005940E9">
        <w:rPr>
          <w:b/>
          <w:bCs/>
        </w:rPr>
        <w:t>and</w:t>
      </w:r>
      <w:r w:rsidR="00162798" w:rsidRPr="005940E9">
        <w:rPr>
          <w:b/>
          <w:bCs/>
        </w:rPr>
        <w:t xml:space="preserve"> 27 (right to social security)</w:t>
      </w:r>
      <w:r w:rsidRPr="005940E9">
        <w:rPr>
          <w:b/>
          <w:bCs/>
        </w:rPr>
        <w:t>.</w:t>
      </w:r>
      <w:r w:rsidRPr="00C87981">
        <w:rPr>
          <w:b/>
          <w:bCs/>
        </w:rPr>
        <w:t xml:space="preserve"> </w:t>
      </w:r>
    </w:p>
    <w:p w14:paraId="38082FB4" w14:textId="3F61EF9F" w:rsidR="00AA50F9" w:rsidRPr="00EC7082" w:rsidRDefault="00997D42" w:rsidP="00EC7082">
      <w:pPr>
        <w:pStyle w:val="SingleTxtG"/>
        <w:numPr>
          <w:ilvl w:val="0"/>
          <w:numId w:val="28"/>
        </w:numPr>
        <w:tabs>
          <w:tab w:val="clear" w:pos="1701"/>
          <w:tab w:val="clear" w:pos="2268"/>
          <w:tab w:val="clear" w:pos="2835"/>
        </w:tabs>
        <w:ind w:left="1134" w:firstLine="0"/>
        <w:rPr>
          <w:b/>
        </w:rPr>
      </w:pPr>
      <w:r w:rsidRPr="00EC7082">
        <w:rPr>
          <w:b/>
        </w:rPr>
        <w:t xml:space="preserve">In line with the Committee’s planned predictable review cycle, the State party will be notified of the new due date of its next periodic report, which will replace the current due date of 31 March 2026. The State party will receive the Committee’s list of issues prior to reporting at least one year before the new date. The replies to this list will constitute the eighth periodic report in accordance with article 16 of the Covenant. In accordance with General Assembly resolution 68/268, the word limit for the report is 21,200 words. </w:t>
      </w:r>
    </w:p>
    <w:p w14:paraId="2D1ADC1E" w14:textId="77777777" w:rsidR="006A4374" w:rsidRPr="009768A0" w:rsidRDefault="009768A0" w:rsidP="009768A0">
      <w:pPr>
        <w:pStyle w:val="SingleTxtG"/>
        <w:spacing w:before="240" w:after="0"/>
        <w:jc w:val="center"/>
        <w:rPr>
          <w:u w:val="single"/>
        </w:rPr>
      </w:pPr>
      <w:r w:rsidRPr="009768A0">
        <w:rPr>
          <w:u w:val="single"/>
        </w:rPr>
        <w:tab/>
      </w:r>
      <w:r w:rsidRPr="009768A0">
        <w:rPr>
          <w:u w:val="single"/>
        </w:rPr>
        <w:tab/>
      </w:r>
      <w:r w:rsidRPr="009768A0">
        <w:rPr>
          <w:u w:val="single"/>
        </w:rPr>
        <w:tab/>
      </w:r>
    </w:p>
    <w:sectPr w:rsidR="006A4374" w:rsidRPr="009768A0">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C9E27" w14:textId="77777777" w:rsidR="00293416" w:rsidRDefault="00293416">
      <w:pPr>
        <w:spacing w:line="240" w:lineRule="auto"/>
      </w:pPr>
      <w:r>
        <w:separator/>
      </w:r>
    </w:p>
  </w:endnote>
  <w:endnote w:type="continuationSeparator" w:id="0">
    <w:p w14:paraId="2A6BE6E6" w14:textId="77777777" w:rsidR="00293416" w:rsidRDefault="002934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E85C2" w14:textId="39F25BE4" w:rsidR="002939D1" w:rsidRDefault="002939D1">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A3226D">
      <w:rPr>
        <w:b/>
        <w:noProof/>
        <w:sz w:val="18"/>
      </w:rPr>
      <w:t>8</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44CD8" w14:textId="47FD90C6" w:rsidR="002939D1" w:rsidRDefault="002939D1">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A3226D">
      <w:rPr>
        <w:b/>
        <w:noProof/>
        <w:sz w:val="18"/>
      </w:rPr>
      <w:t>9</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5618B" w14:textId="140C8830" w:rsidR="002939D1" w:rsidRDefault="00446E5D" w:rsidP="00446E5D">
    <w:pPr>
      <w:pStyle w:val="Footer"/>
      <w:spacing w:before="120"/>
    </w:pPr>
    <w:r w:rsidRPr="00446E5D">
      <w:rPr>
        <w:noProof/>
        <w:sz w:val="20"/>
        <w:lang w:val="fi-FI" w:eastAsia="fi-FI"/>
      </w:rPr>
      <w:drawing>
        <wp:anchor distT="0" distB="0" distL="114300" distR="114300" simplePos="0" relativeHeight="251660288" behindDoc="0" locked="1" layoutInCell="1" allowOverlap="1" wp14:anchorId="22666637" wp14:editId="4D6C03F4">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r w:rsidR="002939D1">
      <w:rPr>
        <w:noProof/>
        <w:sz w:val="20"/>
        <w:lang w:val="fi-FI" w:eastAsia="fi-FI"/>
      </w:rPr>
      <w:drawing>
        <wp:anchor distT="0" distB="0" distL="114300" distR="114300" simplePos="0" relativeHeight="251658240" behindDoc="0" locked="1" layoutInCell="1" allowOverlap="1" wp14:anchorId="7605FC84" wp14:editId="5EB559A0">
          <wp:simplePos x="0" y="0"/>
          <wp:positionH relativeFrom="column">
            <wp:posOffset>5868670</wp:posOffset>
          </wp:positionH>
          <wp:positionV relativeFrom="paragraph">
            <wp:posOffset>9387840</wp:posOffset>
          </wp:positionV>
          <wp:extent cx="930275" cy="230505"/>
          <wp:effectExtent l="0" t="0" r="3175" b="0"/>
          <wp:wrapNone/>
          <wp:docPr id="16"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727" name="Picture 3" descr="recycle_English"/>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05522E" w14:textId="2591E443" w:rsidR="00446E5D" w:rsidRPr="00446E5D" w:rsidRDefault="00446E5D" w:rsidP="00446E5D">
    <w:pPr>
      <w:pStyle w:val="Footer"/>
      <w:ind w:right="1134"/>
      <w:rPr>
        <w:sz w:val="20"/>
      </w:rPr>
    </w:pPr>
    <w:r>
      <w:rPr>
        <w:sz w:val="20"/>
      </w:rPr>
      <w:t>GE.21-02650(E)</w:t>
    </w:r>
    <w:r>
      <w:rPr>
        <w:noProof/>
        <w:sz w:val="20"/>
        <w:lang w:val="fi-FI" w:eastAsia="fi-FI"/>
      </w:rPr>
      <w:drawing>
        <wp:anchor distT="0" distB="0" distL="114300" distR="114300" simplePos="0" relativeHeight="251661312" behindDoc="0" locked="0" layoutInCell="1" allowOverlap="1" wp14:anchorId="4B80D4A8" wp14:editId="3FADEB5B">
          <wp:simplePos x="0" y="0"/>
          <wp:positionH relativeFrom="margin">
            <wp:posOffset>5615940</wp:posOffset>
          </wp:positionH>
          <wp:positionV relativeFrom="margin">
            <wp:posOffset>8905875</wp:posOffset>
          </wp:positionV>
          <wp:extent cx="561975" cy="561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63E00" w14:textId="77777777" w:rsidR="00293416" w:rsidRDefault="00293416">
      <w:pPr>
        <w:pStyle w:val="Footer"/>
        <w:tabs>
          <w:tab w:val="right" w:pos="2155"/>
        </w:tabs>
        <w:spacing w:after="80" w:line="240" w:lineRule="atLeast"/>
        <w:ind w:left="680"/>
        <w:rPr>
          <w:u w:val="single"/>
        </w:rPr>
      </w:pPr>
      <w:r>
        <w:rPr>
          <w:u w:val="single"/>
        </w:rPr>
        <w:tab/>
      </w:r>
    </w:p>
  </w:footnote>
  <w:footnote w:type="continuationSeparator" w:id="0">
    <w:p w14:paraId="29B6AE13" w14:textId="77777777" w:rsidR="00293416" w:rsidRDefault="00293416">
      <w:pPr>
        <w:pStyle w:val="Footer"/>
        <w:tabs>
          <w:tab w:val="right" w:pos="2155"/>
        </w:tabs>
        <w:spacing w:after="80" w:line="240" w:lineRule="atLeast"/>
        <w:ind w:left="680"/>
        <w:rPr>
          <w:u w:val="single"/>
        </w:rPr>
      </w:pPr>
      <w:r>
        <w:rPr>
          <w:u w:val="single"/>
        </w:rPr>
        <w:tab/>
      </w:r>
    </w:p>
  </w:footnote>
  <w:footnote w:type="continuationNotice" w:id="1">
    <w:p w14:paraId="32E60CF3" w14:textId="77777777" w:rsidR="00293416" w:rsidRDefault="00293416">
      <w:pPr>
        <w:rPr>
          <w:sz w:val="2"/>
          <w:szCs w:val="2"/>
        </w:rPr>
      </w:pPr>
    </w:p>
  </w:footnote>
  <w:footnote w:id="2">
    <w:p w14:paraId="21F40BA2" w14:textId="288527AB" w:rsidR="00A3465F" w:rsidRPr="00C96719" w:rsidRDefault="00A3465F" w:rsidP="00A3465F">
      <w:pPr>
        <w:pStyle w:val="FootnoteText"/>
        <w:rPr>
          <w:lang w:val="en-US"/>
        </w:rPr>
      </w:pPr>
      <w:r>
        <w:rPr>
          <w:rStyle w:val="FootnoteReference"/>
        </w:rPr>
        <w:tab/>
      </w:r>
      <w:r w:rsidRPr="00C96719">
        <w:rPr>
          <w:rStyle w:val="FootnoteReference"/>
          <w:sz w:val="20"/>
        </w:rPr>
        <w:t>*</w:t>
      </w:r>
      <w:r>
        <w:rPr>
          <w:rStyle w:val="FootnoteReference"/>
          <w:sz w:val="20"/>
        </w:rPr>
        <w:tab/>
      </w:r>
      <w:r w:rsidRPr="00F2130F">
        <w:t xml:space="preserve">Adopted by the Committee at its </w:t>
      </w:r>
      <w:r>
        <w:t>sixty-ninth</w:t>
      </w:r>
      <w:r w:rsidRPr="00F2130F">
        <w:t xml:space="preserve"> session (</w:t>
      </w:r>
      <w:r>
        <w:t>15 February–5 March 2020</w:t>
      </w:r>
      <w:r w:rsidRPr="00F2130F">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B4C7F" w14:textId="2B32719E" w:rsidR="002939D1" w:rsidRDefault="002939D1">
    <w:pPr>
      <w:pStyle w:val="Header"/>
    </w:pPr>
    <w:r>
      <w:t>E/C.12/FIN/CO/7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DAD4D" w14:textId="493D7F7B" w:rsidR="002939D1" w:rsidRDefault="002939D1">
    <w:pPr>
      <w:pStyle w:val="Header"/>
      <w:jc w:val="right"/>
    </w:pPr>
    <w:r>
      <w:t>E/C.12/FIN/CO/7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9FB1D" w14:textId="5349CAE4" w:rsidR="002939D1" w:rsidRDefault="002939D1">
    <w:pPr>
      <w:pStyle w:val="Header"/>
      <w:pBdr>
        <w:bottom w:val="none" w:sz="0" w:space="0" w:color="auto"/>
      </w:pBd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7632F75E">
      <w:start w:val="1"/>
      <w:numFmt w:val="decimal"/>
      <w:lvlText w:val="%1."/>
      <w:lvlJc w:val="left"/>
      <w:pPr>
        <w:tabs>
          <w:tab w:val="num" w:pos="0"/>
        </w:tabs>
        <w:ind w:left="1134" w:firstLine="0"/>
      </w:pPr>
      <w:rPr>
        <w:rFonts w:ascii="Times New Roman" w:hAnsi="Times New Roman" w:hint="default"/>
        <w:b w:val="0"/>
        <w:i w:val="0"/>
        <w:sz w:val="20"/>
      </w:rPr>
    </w:lvl>
    <w:lvl w:ilvl="1" w:tplc="916ECA62" w:tentative="1">
      <w:start w:val="1"/>
      <w:numFmt w:val="lowerLetter"/>
      <w:lvlText w:val="%2."/>
      <w:lvlJc w:val="left"/>
      <w:pPr>
        <w:tabs>
          <w:tab w:val="num" w:pos="1440"/>
        </w:tabs>
        <w:ind w:left="1440" w:hanging="360"/>
      </w:pPr>
    </w:lvl>
    <w:lvl w:ilvl="2" w:tplc="9F8AFEA0" w:tentative="1">
      <w:start w:val="1"/>
      <w:numFmt w:val="lowerRoman"/>
      <w:lvlText w:val="%3."/>
      <w:lvlJc w:val="right"/>
      <w:pPr>
        <w:tabs>
          <w:tab w:val="num" w:pos="2160"/>
        </w:tabs>
        <w:ind w:left="2160" w:hanging="180"/>
      </w:pPr>
    </w:lvl>
    <w:lvl w:ilvl="3" w:tplc="E2208B1C" w:tentative="1">
      <w:start w:val="1"/>
      <w:numFmt w:val="decimal"/>
      <w:lvlText w:val="%4."/>
      <w:lvlJc w:val="left"/>
      <w:pPr>
        <w:tabs>
          <w:tab w:val="num" w:pos="2880"/>
        </w:tabs>
        <w:ind w:left="2880" w:hanging="360"/>
      </w:pPr>
    </w:lvl>
    <w:lvl w:ilvl="4" w:tplc="4800A4D4" w:tentative="1">
      <w:start w:val="1"/>
      <w:numFmt w:val="lowerLetter"/>
      <w:lvlText w:val="%5."/>
      <w:lvlJc w:val="left"/>
      <w:pPr>
        <w:tabs>
          <w:tab w:val="num" w:pos="3600"/>
        </w:tabs>
        <w:ind w:left="3600" w:hanging="360"/>
      </w:pPr>
    </w:lvl>
    <w:lvl w:ilvl="5" w:tplc="D9D0B316" w:tentative="1">
      <w:start w:val="1"/>
      <w:numFmt w:val="lowerRoman"/>
      <w:lvlText w:val="%6."/>
      <w:lvlJc w:val="right"/>
      <w:pPr>
        <w:tabs>
          <w:tab w:val="num" w:pos="4320"/>
        </w:tabs>
        <w:ind w:left="4320" w:hanging="180"/>
      </w:pPr>
    </w:lvl>
    <w:lvl w:ilvl="6" w:tplc="C834EB7A" w:tentative="1">
      <w:start w:val="1"/>
      <w:numFmt w:val="decimal"/>
      <w:lvlText w:val="%7."/>
      <w:lvlJc w:val="left"/>
      <w:pPr>
        <w:tabs>
          <w:tab w:val="num" w:pos="5040"/>
        </w:tabs>
        <w:ind w:left="5040" w:hanging="360"/>
      </w:pPr>
    </w:lvl>
    <w:lvl w:ilvl="7" w:tplc="5292FE78" w:tentative="1">
      <w:start w:val="1"/>
      <w:numFmt w:val="lowerLetter"/>
      <w:lvlText w:val="%8."/>
      <w:lvlJc w:val="left"/>
      <w:pPr>
        <w:tabs>
          <w:tab w:val="num" w:pos="5760"/>
        </w:tabs>
        <w:ind w:left="5760" w:hanging="360"/>
      </w:pPr>
    </w:lvl>
    <w:lvl w:ilvl="8" w:tplc="E35E1420" w:tentative="1">
      <w:start w:val="1"/>
      <w:numFmt w:val="lowerRoman"/>
      <w:lvlText w:val="%9."/>
      <w:lvlJc w:val="right"/>
      <w:pPr>
        <w:tabs>
          <w:tab w:val="num" w:pos="6480"/>
        </w:tabs>
        <w:ind w:left="6480" w:hanging="180"/>
      </w:pPr>
    </w:lvl>
  </w:abstractNum>
  <w:abstractNum w:abstractNumId="11" w15:restartNumberingAfterBreak="0">
    <w:nsid w:val="0AB730B3"/>
    <w:multiLevelType w:val="hybridMultilevel"/>
    <w:tmpl w:val="B2A27A44"/>
    <w:lvl w:ilvl="0" w:tplc="EEDC17B2">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0D954887"/>
    <w:multiLevelType w:val="hybridMultilevel"/>
    <w:tmpl w:val="2B362816"/>
    <w:lvl w:ilvl="0" w:tplc="32A43BFA">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423075F8" w:tentative="1">
      <w:start w:val="1"/>
      <w:numFmt w:val="lowerLetter"/>
      <w:lvlText w:val="%2."/>
      <w:lvlJc w:val="left"/>
      <w:pPr>
        <w:tabs>
          <w:tab w:val="num" w:pos="1440"/>
        </w:tabs>
        <w:ind w:left="1440" w:hanging="360"/>
      </w:pPr>
    </w:lvl>
    <w:lvl w:ilvl="2" w:tplc="3F6A2CC0" w:tentative="1">
      <w:start w:val="1"/>
      <w:numFmt w:val="lowerRoman"/>
      <w:lvlText w:val="%3."/>
      <w:lvlJc w:val="right"/>
      <w:pPr>
        <w:tabs>
          <w:tab w:val="num" w:pos="2160"/>
        </w:tabs>
        <w:ind w:left="2160" w:hanging="180"/>
      </w:pPr>
    </w:lvl>
    <w:lvl w:ilvl="3" w:tplc="31AE708E" w:tentative="1">
      <w:start w:val="1"/>
      <w:numFmt w:val="decimal"/>
      <w:lvlText w:val="%4."/>
      <w:lvlJc w:val="left"/>
      <w:pPr>
        <w:tabs>
          <w:tab w:val="num" w:pos="2880"/>
        </w:tabs>
        <w:ind w:left="2880" w:hanging="360"/>
      </w:pPr>
    </w:lvl>
    <w:lvl w:ilvl="4" w:tplc="8EC457F6" w:tentative="1">
      <w:start w:val="1"/>
      <w:numFmt w:val="lowerLetter"/>
      <w:lvlText w:val="%5."/>
      <w:lvlJc w:val="left"/>
      <w:pPr>
        <w:tabs>
          <w:tab w:val="num" w:pos="3600"/>
        </w:tabs>
        <w:ind w:left="3600" w:hanging="360"/>
      </w:pPr>
    </w:lvl>
    <w:lvl w:ilvl="5" w:tplc="DF987A90" w:tentative="1">
      <w:start w:val="1"/>
      <w:numFmt w:val="lowerRoman"/>
      <w:lvlText w:val="%6."/>
      <w:lvlJc w:val="right"/>
      <w:pPr>
        <w:tabs>
          <w:tab w:val="num" w:pos="4320"/>
        </w:tabs>
        <w:ind w:left="4320" w:hanging="180"/>
      </w:pPr>
    </w:lvl>
    <w:lvl w:ilvl="6" w:tplc="5A1EC32E" w:tentative="1">
      <w:start w:val="1"/>
      <w:numFmt w:val="decimal"/>
      <w:lvlText w:val="%7."/>
      <w:lvlJc w:val="left"/>
      <w:pPr>
        <w:tabs>
          <w:tab w:val="num" w:pos="5040"/>
        </w:tabs>
        <w:ind w:left="5040" w:hanging="360"/>
      </w:pPr>
    </w:lvl>
    <w:lvl w:ilvl="7" w:tplc="485C62C2" w:tentative="1">
      <w:start w:val="1"/>
      <w:numFmt w:val="lowerLetter"/>
      <w:lvlText w:val="%8."/>
      <w:lvlJc w:val="left"/>
      <w:pPr>
        <w:tabs>
          <w:tab w:val="num" w:pos="5760"/>
        </w:tabs>
        <w:ind w:left="5760" w:hanging="360"/>
      </w:pPr>
    </w:lvl>
    <w:lvl w:ilvl="8" w:tplc="2BC8E830" w:tentative="1">
      <w:start w:val="1"/>
      <w:numFmt w:val="lowerRoman"/>
      <w:lvlText w:val="%9."/>
      <w:lvlJc w:val="right"/>
      <w:pPr>
        <w:tabs>
          <w:tab w:val="num" w:pos="6480"/>
        </w:tabs>
        <w:ind w:left="6480" w:hanging="180"/>
      </w:pPr>
    </w:lvl>
  </w:abstractNum>
  <w:abstractNum w:abstractNumId="13" w15:restartNumberingAfterBreak="0">
    <w:nsid w:val="1E253887"/>
    <w:multiLevelType w:val="hybridMultilevel"/>
    <w:tmpl w:val="497EC7CC"/>
    <w:lvl w:ilvl="0" w:tplc="9AB243A4">
      <w:start w:val="1"/>
      <w:numFmt w:val="bullet"/>
      <w:lvlText w:val="•"/>
      <w:lvlJc w:val="left"/>
      <w:pPr>
        <w:tabs>
          <w:tab w:val="num" w:pos="2268"/>
        </w:tabs>
        <w:ind w:left="2268" w:hanging="170"/>
      </w:pPr>
      <w:rPr>
        <w:rFonts w:ascii="Times New Roman" w:hAnsi="Times New Roman" w:cs="Times New Roman" w:hint="default"/>
      </w:rPr>
    </w:lvl>
    <w:lvl w:ilvl="1" w:tplc="6A36004C" w:tentative="1">
      <w:start w:val="1"/>
      <w:numFmt w:val="bullet"/>
      <w:lvlText w:val="o"/>
      <w:lvlJc w:val="left"/>
      <w:pPr>
        <w:tabs>
          <w:tab w:val="num" w:pos="1440"/>
        </w:tabs>
        <w:ind w:left="1440" w:hanging="360"/>
      </w:pPr>
      <w:rPr>
        <w:rFonts w:ascii="Courier New" w:hAnsi="Courier New" w:hint="default"/>
      </w:rPr>
    </w:lvl>
    <w:lvl w:ilvl="2" w:tplc="9FA03F3E" w:tentative="1">
      <w:start w:val="1"/>
      <w:numFmt w:val="bullet"/>
      <w:lvlText w:val=""/>
      <w:lvlJc w:val="left"/>
      <w:pPr>
        <w:tabs>
          <w:tab w:val="num" w:pos="2160"/>
        </w:tabs>
        <w:ind w:left="2160" w:hanging="360"/>
      </w:pPr>
      <w:rPr>
        <w:rFonts w:ascii="Wingdings" w:hAnsi="Wingdings" w:hint="default"/>
      </w:rPr>
    </w:lvl>
    <w:lvl w:ilvl="3" w:tplc="9946975E" w:tentative="1">
      <w:start w:val="1"/>
      <w:numFmt w:val="bullet"/>
      <w:lvlText w:val=""/>
      <w:lvlJc w:val="left"/>
      <w:pPr>
        <w:tabs>
          <w:tab w:val="num" w:pos="2880"/>
        </w:tabs>
        <w:ind w:left="2880" w:hanging="360"/>
      </w:pPr>
      <w:rPr>
        <w:rFonts w:ascii="Symbol" w:hAnsi="Symbol" w:hint="default"/>
      </w:rPr>
    </w:lvl>
    <w:lvl w:ilvl="4" w:tplc="9E8023B4" w:tentative="1">
      <w:start w:val="1"/>
      <w:numFmt w:val="bullet"/>
      <w:lvlText w:val="o"/>
      <w:lvlJc w:val="left"/>
      <w:pPr>
        <w:tabs>
          <w:tab w:val="num" w:pos="3600"/>
        </w:tabs>
        <w:ind w:left="3600" w:hanging="360"/>
      </w:pPr>
      <w:rPr>
        <w:rFonts w:ascii="Courier New" w:hAnsi="Courier New" w:hint="default"/>
      </w:rPr>
    </w:lvl>
    <w:lvl w:ilvl="5" w:tplc="2AD6DE22" w:tentative="1">
      <w:start w:val="1"/>
      <w:numFmt w:val="bullet"/>
      <w:lvlText w:val=""/>
      <w:lvlJc w:val="left"/>
      <w:pPr>
        <w:tabs>
          <w:tab w:val="num" w:pos="4320"/>
        </w:tabs>
        <w:ind w:left="4320" w:hanging="360"/>
      </w:pPr>
      <w:rPr>
        <w:rFonts w:ascii="Wingdings" w:hAnsi="Wingdings" w:hint="default"/>
      </w:rPr>
    </w:lvl>
    <w:lvl w:ilvl="6" w:tplc="5AD65D48" w:tentative="1">
      <w:start w:val="1"/>
      <w:numFmt w:val="bullet"/>
      <w:lvlText w:val=""/>
      <w:lvlJc w:val="left"/>
      <w:pPr>
        <w:tabs>
          <w:tab w:val="num" w:pos="5040"/>
        </w:tabs>
        <w:ind w:left="5040" w:hanging="360"/>
      </w:pPr>
      <w:rPr>
        <w:rFonts w:ascii="Symbol" w:hAnsi="Symbol" w:hint="default"/>
      </w:rPr>
    </w:lvl>
    <w:lvl w:ilvl="7" w:tplc="F5EC12A0" w:tentative="1">
      <w:start w:val="1"/>
      <w:numFmt w:val="bullet"/>
      <w:lvlText w:val="o"/>
      <w:lvlJc w:val="left"/>
      <w:pPr>
        <w:tabs>
          <w:tab w:val="num" w:pos="5760"/>
        </w:tabs>
        <w:ind w:left="5760" w:hanging="360"/>
      </w:pPr>
      <w:rPr>
        <w:rFonts w:ascii="Courier New" w:hAnsi="Courier New" w:hint="default"/>
      </w:rPr>
    </w:lvl>
    <w:lvl w:ilvl="8" w:tplc="D85E0BF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A12325"/>
    <w:multiLevelType w:val="hybridMultilevel"/>
    <w:tmpl w:val="FF0E5B48"/>
    <w:lvl w:ilvl="0" w:tplc="96E41B84">
      <w:start w:val="1"/>
      <w:numFmt w:val="bullet"/>
      <w:lvlText w:val="•"/>
      <w:lvlJc w:val="left"/>
      <w:pPr>
        <w:tabs>
          <w:tab w:val="num" w:pos="1701"/>
        </w:tabs>
        <w:ind w:left="1701" w:hanging="170"/>
      </w:pPr>
      <w:rPr>
        <w:rFonts w:ascii="Times New Roman" w:hAnsi="Times New Roman" w:cs="Times New Roman" w:hint="default"/>
        <w:b w:val="0"/>
        <w:i w:val="0"/>
        <w:sz w:val="20"/>
      </w:rPr>
    </w:lvl>
    <w:lvl w:ilvl="1" w:tplc="F02A2C70" w:tentative="1">
      <w:start w:val="1"/>
      <w:numFmt w:val="bullet"/>
      <w:lvlText w:val="o"/>
      <w:lvlJc w:val="left"/>
      <w:pPr>
        <w:tabs>
          <w:tab w:val="num" w:pos="1440"/>
        </w:tabs>
        <w:ind w:left="1440" w:hanging="360"/>
      </w:pPr>
      <w:rPr>
        <w:rFonts w:ascii="Courier New" w:hAnsi="Courier New" w:hint="default"/>
      </w:rPr>
    </w:lvl>
    <w:lvl w:ilvl="2" w:tplc="0BC26FF6" w:tentative="1">
      <w:start w:val="1"/>
      <w:numFmt w:val="bullet"/>
      <w:lvlText w:val=""/>
      <w:lvlJc w:val="left"/>
      <w:pPr>
        <w:tabs>
          <w:tab w:val="num" w:pos="2160"/>
        </w:tabs>
        <w:ind w:left="2160" w:hanging="360"/>
      </w:pPr>
      <w:rPr>
        <w:rFonts w:ascii="Wingdings" w:hAnsi="Wingdings" w:hint="default"/>
      </w:rPr>
    </w:lvl>
    <w:lvl w:ilvl="3" w:tplc="CD749798" w:tentative="1">
      <w:start w:val="1"/>
      <w:numFmt w:val="bullet"/>
      <w:lvlText w:val=""/>
      <w:lvlJc w:val="left"/>
      <w:pPr>
        <w:tabs>
          <w:tab w:val="num" w:pos="2880"/>
        </w:tabs>
        <w:ind w:left="2880" w:hanging="360"/>
      </w:pPr>
      <w:rPr>
        <w:rFonts w:ascii="Symbol" w:hAnsi="Symbol" w:hint="default"/>
      </w:rPr>
    </w:lvl>
    <w:lvl w:ilvl="4" w:tplc="136A1042" w:tentative="1">
      <w:start w:val="1"/>
      <w:numFmt w:val="bullet"/>
      <w:lvlText w:val="o"/>
      <w:lvlJc w:val="left"/>
      <w:pPr>
        <w:tabs>
          <w:tab w:val="num" w:pos="3600"/>
        </w:tabs>
        <w:ind w:left="3600" w:hanging="360"/>
      </w:pPr>
      <w:rPr>
        <w:rFonts w:ascii="Courier New" w:hAnsi="Courier New" w:hint="default"/>
      </w:rPr>
    </w:lvl>
    <w:lvl w:ilvl="5" w:tplc="28327560" w:tentative="1">
      <w:start w:val="1"/>
      <w:numFmt w:val="bullet"/>
      <w:lvlText w:val=""/>
      <w:lvlJc w:val="left"/>
      <w:pPr>
        <w:tabs>
          <w:tab w:val="num" w:pos="4320"/>
        </w:tabs>
        <w:ind w:left="4320" w:hanging="360"/>
      </w:pPr>
      <w:rPr>
        <w:rFonts w:ascii="Wingdings" w:hAnsi="Wingdings" w:hint="default"/>
      </w:rPr>
    </w:lvl>
    <w:lvl w:ilvl="6" w:tplc="4EDCBF46" w:tentative="1">
      <w:start w:val="1"/>
      <w:numFmt w:val="bullet"/>
      <w:lvlText w:val=""/>
      <w:lvlJc w:val="left"/>
      <w:pPr>
        <w:tabs>
          <w:tab w:val="num" w:pos="5040"/>
        </w:tabs>
        <w:ind w:left="5040" w:hanging="360"/>
      </w:pPr>
      <w:rPr>
        <w:rFonts w:ascii="Symbol" w:hAnsi="Symbol" w:hint="default"/>
      </w:rPr>
    </w:lvl>
    <w:lvl w:ilvl="7" w:tplc="8AF44286" w:tentative="1">
      <w:start w:val="1"/>
      <w:numFmt w:val="bullet"/>
      <w:lvlText w:val="o"/>
      <w:lvlJc w:val="left"/>
      <w:pPr>
        <w:tabs>
          <w:tab w:val="num" w:pos="5760"/>
        </w:tabs>
        <w:ind w:left="5760" w:hanging="360"/>
      </w:pPr>
      <w:rPr>
        <w:rFonts w:ascii="Courier New" w:hAnsi="Courier New" w:hint="default"/>
      </w:rPr>
    </w:lvl>
    <w:lvl w:ilvl="8" w:tplc="962A73E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F4EB2"/>
    <w:multiLevelType w:val="hybridMultilevel"/>
    <w:tmpl w:val="CB6C816A"/>
    <w:lvl w:ilvl="0" w:tplc="4EA813C4">
      <w:start w:val="1"/>
      <w:numFmt w:val="bullet"/>
      <w:pStyle w:val="Bullet2G"/>
      <w:lvlText w:val="•"/>
      <w:lvlJc w:val="left"/>
      <w:pPr>
        <w:tabs>
          <w:tab w:val="num" w:pos="2268"/>
        </w:tabs>
        <w:ind w:left="2268" w:hanging="170"/>
      </w:pPr>
      <w:rPr>
        <w:rFonts w:ascii="Times New Roman" w:hAnsi="Times New Roman" w:cs="Times New Roman" w:hint="default"/>
      </w:rPr>
    </w:lvl>
    <w:lvl w:ilvl="1" w:tplc="BC64C36E" w:tentative="1">
      <w:start w:val="1"/>
      <w:numFmt w:val="bullet"/>
      <w:lvlText w:val="o"/>
      <w:lvlJc w:val="left"/>
      <w:pPr>
        <w:tabs>
          <w:tab w:val="num" w:pos="3708"/>
        </w:tabs>
        <w:ind w:left="3708" w:hanging="360"/>
      </w:pPr>
      <w:rPr>
        <w:rFonts w:ascii="Courier New" w:hAnsi="Courier New" w:hint="default"/>
      </w:rPr>
    </w:lvl>
    <w:lvl w:ilvl="2" w:tplc="F0520064" w:tentative="1">
      <w:start w:val="1"/>
      <w:numFmt w:val="bullet"/>
      <w:lvlText w:val=""/>
      <w:lvlJc w:val="left"/>
      <w:pPr>
        <w:tabs>
          <w:tab w:val="num" w:pos="4428"/>
        </w:tabs>
        <w:ind w:left="4428" w:hanging="360"/>
      </w:pPr>
      <w:rPr>
        <w:rFonts w:ascii="Wingdings" w:hAnsi="Wingdings" w:hint="default"/>
      </w:rPr>
    </w:lvl>
    <w:lvl w:ilvl="3" w:tplc="67E2DF78" w:tentative="1">
      <w:start w:val="1"/>
      <w:numFmt w:val="bullet"/>
      <w:lvlText w:val=""/>
      <w:lvlJc w:val="left"/>
      <w:pPr>
        <w:tabs>
          <w:tab w:val="num" w:pos="5148"/>
        </w:tabs>
        <w:ind w:left="5148" w:hanging="360"/>
      </w:pPr>
      <w:rPr>
        <w:rFonts w:ascii="Symbol" w:hAnsi="Symbol" w:hint="default"/>
      </w:rPr>
    </w:lvl>
    <w:lvl w:ilvl="4" w:tplc="8FC64A78" w:tentative="1">
      <w:start w:val="1"/>
      <w:numFmt w:val="bullet"/>
      <w:lvlText w:val="o"/>
      <w:lvlJc w:val="left"/>
      <w:pPr>
        <w:tabs>
          <w:tab w:val="num" w:pos="5868"/>
        </w:tabs>
        <w:ind w:left="5868" w:hanging="360"/>
      </w:pPr>
      <w:rPr>
        <w:rFonts w:ascii="Courier New" w:hAnsi="Courier New" w:hint="default"/>
      </w:rPr>
    </w:lvl>
    <w:lvl w:ilvl="5" w:tplc="659ED658" w:tentative="1">
      <w:start w:val="1"/>
      <w:numFmt w:val="bullet"/>
      <w:lvlText w:val=""/>
      <w:lvlJc w:val="left"/>
      <w:pPr>
        <w:tabs>
          <w:tab w:val="num" w:pos="6588"/>
        </w:tabs>
        <w:ind w:left="6588" w:hanging="360"/>
      </w:pPr>
      <w:rPr>
        <w:rFonts w:ascii="Wingdings" w:hAnsi="Wingdings" w:hint="default"/>
      </w:rPr>
    </w:lvl>
    <w:lvl w:ilvl="6" w:tplc="81A4E588" w:tentative="1">
      <w:start w:val="1"/>
      <w:numFmt w:val="bullet"/>
      <w:lvlText w:val=""/>
      <w:lvlJc w:val="left"/>
      <w:pPr>
        <w:tabs>
          <w:tab w:val="num" w:pos="7308"/>
        </w:tabs>
        <w:ind w:left="7308" w:hanging="360"/>
      </w:pPr>
      <w:rPr>
        <w:rFonts w:ascii="Symbol" w:hAnsi="Symbol" w:hint="default"/>
      </w:rPr>
    </w:lvl>
    <w:lvl w:ilvl="7" w:tplc="419C6DCA" w:tentative="1">
      <w:start w:val="1"/>
      <w:numFmt w:val="bullet"/>
      <w:lvlText w:val="o"/>
      <w:lvlJc w:val="left"/>
      <w:pPr>
        <w:tabs>
          <w:tab w:val="num" w:pos="8028"/>
        </w:tabs>
        <w:ind w:left="8028" w:hanging="360"/>
      </w:pPr>
      <w:rPr>
        <w:rFonts w:ascii="Courier New" w:hAnsi="Courier New" w:hint="default"/>
      </w:rPr>
    </w:lvl>
    <w:lvl w:ilvl="8" w:tplc="505091DA" w:tentative="1">
      <w:start w:val="1"/>
      <w:numFmt w:val="bullet"/>
      <w:lvlText w:val=""/>
      <w:lvlJc w:val="left"/>
      <w:pPr>
        <w:tabs>
          <w:tab w:val="num" w:pos="8748"/>
        </w:tabs>
        <w:ind w:left="8748" w:hanging="360"/>
      </w:pPr>
      <w:rPr>
        <w:rFonts w:ascii="Wingdings" w:hAnsi="Wingdings" w:hint="default"/>
      </w:rPr>
    </w:lvl>
  </w:abstractNum>
  <w:abstractNum w:abstractNumId="16" w15:restartNumberingAfterBreak="0">
    <w:nsid w:val="52764E20"/>
    <w:multiLevelType w:val="hybridMultilevel"/>
    <w:tmpl w:val="7E9E0964"/>
    <w:lvl w:ilvl="0" w:tplc="BF48CD1E">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562A5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BF247D"/>
    <w:multiLevelType w:val="hybridMultilevel"/>
    <w:tmpl w:val="A1445F7A"/>
    <w:lvl w:ilvl="0" w:tplc="EF9260E2">
      <w:start w:val="1"/>
      <w:numFmt w:val="decimal"/>
      <w:lvlText w:val="%1."/>
      <w:lvlJc w:val="left"/>
      <w:pPr>
        <w:ind w:left="1494" w:hanging="360"/>
      </w:pPr>
      <w:rPr>
        <w:b w:val="0"/>
      </w:rPr>
    </w:lvl>
    <w:lvl w:ilvl="1" w:tplc="701EB0E4">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5ED85D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3D3CFD"/>
    <w:multiLevelType w:val="hybridMultilevel"/>
    <w:tmpl w:val="E9C82820"/>
    <w:lvl w:ilvl="0" w:tplc="930CA00E">
      <w:start w:val="1"/>
      <w:numFmt w:val="lowerLetter"/>
      <w:lvlText w:val="(%1)"/>
      <w:lvlJc w:val="left"/>
      <w:pPr>
        <w:ind w:left="2271" w:hanging="57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2" w15:restartNumberingAfterBreak="0">
    <w:nsid w:val="68AD07B2"/>
    <w:multiLevelType w:val="hybridMultilevel"/>
    <w:tmpl w:val="7FEE3222"/>
    <w:lvl w:ilvl="0" w:tplc="2FE6DDB0">
      <w:start w:val="1"/>
      <w:numFmt w:val="bullet"/>
      <w:pStyle w:val="Bullet1G"/>
      <w:lvlText w:val="•"/>
      <w:lvlJc w:val="left"/>
      <w:pPr>
        <w:tabs>
          <w:tab w:val="num" w:pos="1701"/>
        </w:tabs>
        <w:ind w:left="1701" w:hanging="170"/>
      </w:pPr>
      <w:rPr>
        <w:rFonts w:ascii="Times New Roman" w:hAnsi="Times New Roman" w:cs="Times New Roman" w:hint="default"/>
      </w:rPr>
    </w:lvl>
    <w:lvl w:ilvl="1" w:tplc="6D8ABF1A" w:tentative="1">
      <w:start w:val="1"/>
      <w:numFmt w:val="bullet"/>
      <w:lvlText w:val="o"/>
      <w:lvlJc w:val="left"/>
      <w:pPr>
        <w:tabs>
          <w:tab w:val="num" w:pos="3141"/>
        </w:tabs>
        <w:ind w:left="3141" w:hanging="360"/>
      </w:pPr>
      <w:rPr>
        <w:rFonts w:ascii="Courier New" w:hAnsi="Courier New" w:hint="default"/>
      </w:rPr>
    </w:lvl>
    <w:lvl w:ilvl="2" w:tplc="BFDE3FB4" w:tentative="1">
      <w:start w:val="1"/>
      <w:numFmt w:val="bullet"/>
      <w:lvlText w:val=""/>
      <w:lvlJc w:val="left"/>
      <w:pPr>
        <w:tabs>
          <w:tab w:val="num" w:pos="3861"/>
        </w:tabs>
        <w:ind w:left="3861" w:hanging="360"/>
      </w:pPr>
      <w:rPr>
        <w:rFonts w:ascii="Wingdings" w:hAnsi="Wingdings" w:hint="default"/>
      </w:rPr>
    </w:lvl>
    <w:lvl w:ilvl="3" w:tplc="5E3EFD44" w:tentative="1">
      <w:start w:val="1"/>
      <w:numFmt w:val="bullet"/>
      <w:lvlText w:val=""/>
      <w:lvlJc w:val="left"/>
      <w:pPr>
        <w:tabs>
          <w:tab w:val="num" w:pos="4581"/>
        </w:tabs>
        <w:ind w:left="4581" w:hanging="360"/>
      </w:pPr>
      <w:rPr>
        <w:rFonts w:ascii="Symbol" w:hAnsi="Symbol" w:hint="default"/>
      </w:rPr>
    </w:lvl>
    <w:lvl w:ilvl="4" w:tplc="D8FAAA54" w:tentative="1">
      <w:start w:val="1"/>
      <w:numFmt w:val="bullet"/>
      <w:lvlText w:val="o"/>
      <w:lvlJc w:val="left"/>
      <w:pPr>
        <w:tabs>
          <w:tab w:val="num" w:pos="5301"/>
        </w:tabs>
        <w:ind w:left="5301" w:hanging="360"/>
      </w:pPr>
      <w:rPr>
        <w:rFonts w:ascii="Courier New" w:hAnsi="Courier New" w:hint="default"/>
      </w:rPr>
    </w:lvl>
    <w:lvl w:ilvl="5" w:tplc="C534F4E2" w:tentative="1">
      <w:start w:val="1"/>
      <w:numFmt w:val="bullet"/>
      <w:lvlText w:val=""/>
      <w:lvlJc w:val="left"/>
      <w:pPr>
        <w:tabs>
          <w:tab w:val="num" w:pos="6021"/>
        </w:tabs>
        <w:ind w:left="6021" w:hanging="360"/>
      </w:pPr>
      <w:rPr>
        <w:rFonts w:ascii="Wingdings" w:hAnsi="Wingdings" w:hint="default"/>
      </w:rPr>
    </w:lvl>
    <w:lvl w:ilvl="6" w:tplc="20747150" w:tentative="1">
      <w:start w:val="1"/>
      <w:numFmt w:val="bullet"/>
      <w:lvlText w:val=""/>
      <w:lvlJc w:val="left"/>
      <w:pPr>
        <w:tabs>
          <w:tab w:val="num" w:pos="6741"/>
        </w:tabs>
        <w:ind w:left="6741" w:hanging="360"/>
      </w:pPr>
      <w:rPr>
        <w:rFonts w:ascii="Symbol" w:hAnsi="Symbol" w:hint="default"/>
      </w:rPr>
    </w:lvl>
    <w:lvl w:ilvl="7" w:tplc="850826C6" w:tentative="1">
      <w:start w:val="1"/>
      <w:numFmt w:val="bullet"/>
      <w:lvlText w:val="o"/>
      <w:lvlJc w:val="left"/>
      <w:pPr>
        <w:tabs>
          <w:tab w:val="num" w:pos="7461"/>
        </w:tabs>
        <w:ind w:left="7461" w:hanging="360"/>
      </w:pPr>
      <w:rPr>
        <w:rFonts w:ascii="Courier New" w:hAnsi="Courier New" w:hint="default"/>
      </w:rPr>
    </w:lvl>
    <w:lvl w:ilvl="8" w:tplc="F47CD046" w:tentative="1">
      <w:start w:val="1"/>
      <w:numFmt w:val="bullet"/>
      <w:lvlText w:val=""/>
      <w:lvlJc w:val="left"/>
      <w:pPr>
        <w:tabs>
          <w:tab w:val="num" w:pos="8181"/>
        </w:tabs>
        <w:ind w:left="8181" w:hanging="360"/>
      </w:pPr>
      <w:rPr>
        <w:rFonts w:ascii="Wingdings" w:hAnsi="Wingdings" w:hint="default"/>
      </w:rPr>
    </w:lvl>
  </w:abstractNum>
  <w:abstractNum w:abstractNumId="23" w15:restartNumberingAfterBreak="0">
    <w:nsid w:val="69122635"/>
    <w:multiLevelType w:val="hybridMultilevel"/>
    <w:tmpl w:val="FB48C672"/>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15"/>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4"/>
  </w:num>
  <w:num w:numId="15">
    <w:abstractNumId w:val="13"/>
  </w:num>
  <w:num w:numId="16">
    <w:abstractNumId w:val="10"/>
  </w:num>
  <w:num w:numId="17">
    <w:abstractNumId w:val="19"/>
  </w:num>
  <w:num w:numId="18">
    <w:abstractNumId w:val="20"/>
  </w:num>
  <w:num w:numId="19">
    <w:abstractNumId w:val="17"/>
  </w:num>
  <w:num w:numId="20">
    <w:abstractNumId w:val="24"/>
  </w:num>
  <w:num w:numId="21">
    <w:abstractNumId w:val="22"/>
  </w:num>
  <w:num w:numId="22">
    <w:abstractNumId w:val="15"/>
  </w:num>
  <w:num w:numId="23">
    <w:abstractNumId w:val="12"/>
  </w:num>
  <w:num w:numId="24">
    <w:abstractNumId w:val="18"/>
  </w:num>
  <w:num w:numId="25">
    <w:abstractNumId w:val="23"/>
  </w:num>
  <w:num w:numId="26">
    <w:abstractNumId w:val="16"/>
  </w:num>
  <w:num w:numId="27">
    <w:abstractNumId w:val="2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567"/>
  <w:hyphenationZone w:val="425"/>
  <w:evenAndOddHeaders/>
  <w:characterSpacingControl w:val="doNotCompress"/>
  <w:hdrShapeDefaults>
    <o:shapedefaults v:ext="edit" spidmax="2049"/>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74"/>
    <w:rsid w:val="00012A62"/>
    <w:rsid w:val="000271F1"/>
    <w:rsid w:val="000331F6"/>
    <w:rsid w:val="0003683D"/>
    <w:rsid w:val="0004437A"/>
    <w:rsid w:val="0004609A"/>
    <w:rsid w:val="00052E80"/>
    <w:rsid w:val="000532CF"/>
    <w:rsid w:val="00066CF8"/>
    <w:rsid w:val="00072165"/>
    <w:rsid w:val="00072A72"/>
    <w:rsid w:val="00083484"/>
    <w:rsid w:val="00097210"/>
    <w:rsid w:val="0009730B"/>
    <w:rsid w:val="000A1DCA"/>
    <w:rsid w:val="000A4180"/>
    <w:rsid w:val="000A59A5"/>
    <w:rsid w:val="000A75A4"/>
    <w:rsid w:val="000C0A56"/>
    <w:rsid w:val="000D1101"/>
    <w:rsid w:val="000E2669"/>
    <w:rsid w:val="000F1E3D"/>
    <w:rsid w:val="00102061"/>
    <w:rsid w:val="001059AC"/>
    <w:rsid w:val="00124B3F"/>
    <w:rsid w:val="00127326"/>
    <w:rsid w:val="00142424"/>
    <w:rsid w:val="00146625"/>
    <w:rsid w:val="00155EBC"/>
    <w:rsid w:val="00162798"/>
    <w:rsid w:val="0016337C"/>
    <w:rsid w:val="00163818"/>
    <w:rsid w:val="0018117E"/>
    <w:rsid w:val="001867EF"/>
    <w:rsid w:val="0019408B"/>
    <w:rsid w:val="0019491A"/>
    <w:rsid w:val="001949B4"/>
    <w:rsid w:val="001A2ADA"/>
    <w:rsid w:val="001A6442"/>
    <w:rsid w:val="001C7D49"/>
    <w:rsid w:val="001E5CF2"/>
    <w:rsid w:val="001F0E6E"/>
    <w:rsid w:val="00201210"/>
    <w:rsid w:val="002028A1"/>
    <w:rsid w:val="00206A7D"/>
    <w:rsid w:val="00213118"/>
    <w:rsid w:val="00245A05"/>
    <w:rsid w:val="002579F0"/>
    <w:rsid w:val="00261BF9"/>
    <w:rsid w:val="00265B3B"/>
    <w:rsid w:val="00267855"/>
    <w:rsid w:val="002827B4"/>
    <w:rsid w:val="00293416"/>
    <w:rsid w:val="002939D1"/>
    <w:rsid w:val="002B0ADF"/>
    <w:rsid w:val="002D5B47"/>
    <w:rsid w:val="002D77A8"/>
    <w:rsid w:val="002E736F"/>
    <w:rsid w:val="002F4636"/>
    <w:rsid w:val="003075CB"/>
    <w:rsid w:val="003125FF"/>
    <w:rsid w:val="003309C9"/>
    <w:rsid w:val="003405D0"/>
    <w:rsid w:val="00340C16"/>
    <w:rsid w:val="00346197"/>
    <w:rsid w:val="00366F97"/>
    <w:rsid w:val="00367C28"/>
    <w:rsid w:val="003873AB"/>
    <w:rsid w:val="003927F6"/>
    <w:rsid w:val="003C0029"/>
    <w:rsid w:val="003C27E3"/>
    <w:rsid w:val="003D0744"/>
    <w:rsid w:val="003D509C"/>
    <w:rsid w:val="003E1FD5"/>
    <w:rsid w:val="003E260F"/>
    <w:rsid w:val="003E6949"/>
    <w:rsid w:val="003E7CF7"/>
    <w:rsid w:val="003F0F1C"/>
    <w:rsid w:val="003F1D74"/>
    <w:rsid w:val="003F230B"/>
    <w:rsid w:val="004062FA"/>
    <w:rsid w:val="0041271B"/>
    <w:rsid w:val="0043709F"/>
    <w:rsid w:val="00446E5D"/>
    <w:rsid w:val="004565C0"/>
    <w:rsid w:val="004573EA"/>
    <w:rsid w:val="00480EF3"/>
    <w:rsid w:val="0049226F"/>
    <w:rsid w:val="00497F6F"/>
    <w:rsid w:val="004A7A5F"/>
    <w:rsid w:val="004B342C"/>
    <w:rsid w:val="004B52BC"/>
    <w:rsid w:val="004B575F"/>
    <w:rsid w:val="004C246A"/>
    <w:rsid w:val="004C3004"/>
    <w:rsid w:val="00532741"/>
    <w:rsid w:val="00537B18"/>
    <w:rsid w:val="00551A1E"/>
    <w:rsid w:val="00582324"/>
    <w:rsid w:val="00582942"/>
    <w:rsid w:val="0059350E"/>
    <w:rsid w:val="005940E9"/>
    <w:rsid w:val="00597FDD"/>
    <w:rsid w:val="005A0F60"/>
    <w:rsid w:val="005D3A4A"/>
    <w:rsid w:val="005D6E82"/>
    <w:rsid w:val="005E06F0"/>
    <w:rsid w:val="00612951"/>
    <w:rsid w:val="00635994"/>
    <w:rsid w:val="00655221"/>
    <w:rsid w:val="00660ED3"/>
    <w:rsid w:val="00666349"/>
    <w:rsid w:val="00672C4C"/>
    <w:rsid w:val="0067495E"/>
    <w:rsid w:val="006A4374"/>
    <w:rsid w:val="006D448E"/>
    <w:rsid w:val="006E41E3"/>
    <w:rsid w:val="006E48D7"/>
    <w:rsid w:val="007049BE"/>
    <w:rsid w:val="007050B0"/>
    <w:rsid w:val="00711CF2"/>
    <w:rsid w:val="007311D8"/>
    <w:rsid w:val="00732860"/>
    <w:rsid w:val="00733178"/>
    <w:rsid w:val="00742CD6"/>
    <w:rsid w:val="00744A6E"/>
    <w:rsid w:val="007607E4"/>
    <w:rsid w:val="007A2509"/>
    <w:rsid w:val="007A4F8E"/>
    <w:rsid w:val="007C32D8"/>
    <w:rsid w:val="007C4B41"/>
    <w:rsid w:val="007C4C2C"/>
    <w:rsid w:val="007F185D"/>
    <w:rsid w:val="007F4F83"/>
    <w:rsid w:val="00813CE3"/>
    <w:rsid w:val="00851099"/>
    <w:rsid w:val="008535C5"/>
    <w:rsid w:val="008548AE"/>
    <w:rsid w:val="00857B8B"/>
    <w:rsid w:val="00884121"/>
    <w:rsid w:val="00886153"/>
    <w:rsid w:val="0089504C"/>
    <w:rsid w:val="0089692F"/>
    <w:rsid w:val="008A0612"/>
    <w:rsid w:val="008A6B1E"/>
    <w:rsid w:val="008E335F"/>
    <w:rsid w:val="008E7B33"/>
    <w:rsid w:val="008F0FAC"/>
    <w:rsid w:val="00906C7F"/>
    <w:rsid w:val="009164CE"/>
    <w:rsid w:val="00922E1B"/>
    <w:rsid w:val="00925DFE"/>
    <w:rsid w:val="00931D42"/>
    <w:rsid w:val="00960554"/>
    <w:rsid w:val="00964897"/>
    <w:rsid w:val="009768A0"/>
    <w:rsid w:val="00997D42"/>
    <w:rsid w:val="009A2EE9"/>
    <w:rsid w:val="009B520A"/>
    <w:rsid w:val="009B5A6B"/>
    <w:rsid w:val="009C39B9"/>
    <w:rsid w:val="009C3AF3"/>
    <w:rsid w:val="009F7781"/>
    <w:rsid w:val="00A15268"/>
    <w:rsid w:val="00A30C05"/>
    <w:rsid w:val="00A313CB"/>
    <w:rsid w:val="00A3226D"/>
    <w:rsid w:val="00A3465F"/>
    <w:rsid w:val="00A3490C"/>
    <w:rsid w:val="00A34F3E"/>
    <w:rsid w:val="00A41755"/>
    <w:rsid w:val="00A462B4"/>
    <w:rsid w:val="00A5391C"/>
    <w:rsid w:val="00A62119"/>
    <w:rsid w:val="00A64134"/>
    <w:rsid w:val="00A77F31"/>
    <w:rsid w:val="00A80F11"/>
    <w:rsid w:val="00A91834"/>
    <w:rsid w:val="00A91ECD"/>
    <w:rsid w:val="00A96D3B"/>
    <w:rsid w:val="00AA50F9"/>
    <w:rsid w:val="00AB2AFA"/>
    <w:rsid w:val="00AD4A69"/>
    <w:rsid w:val="00AD54E6"/>
    <w:rsid w:val="00AE421F"/>
    <w:rsid w:val="00AF10D8"/>
    <w:rsid w:val="00AF4422"/>
    <w:rsid w:val="00AF68FF"/>
    <w:rsid w:val="00B010A7"/>
    <w:rsid w:val="00B05DD4"/>
    <w:rsid w:val="00B06234"/>
    <w:rsid w:val="00B477BB"/>
    <w:rsid w:val="00B9317B"/>
    <w:rsid w:val="00B97DB9"/>
    <w:rsid w:val="00BA5ADD"/>
    <w:rsid w:val="00BB3B3A"/>
    <w:rsid w:val="00BB5AF6"/>
    <w:rsid w:val="00BC6719"/>
    <w:rsid w:val="00BD0A71"/>
    <w:rsid w:val="00BE0F75"/>
    <w:rsid w:val="00BF3001"/>
    <w:rsid w:val="00BF3ACD"/>
    <w:rsid w:val="00C01A4B"/>
    <w:rsid w:val="00C11FC3"/>
    <w:rsid w:val="00C26BED"/>
    <w:rsid w:val="00C3313B"/>
    <w:rsid w:val="00C53BAE"/>
    <w:rsid w:val="00C57F84"/>
    <w:rsid w:val="00C627AC"/>
    <w:rsid w:val="00C62B3F"/>
    <w:rsid w:val="00C7603D"/>
    <w:rsid w:val="00C82FAA"/>
    <w:rsid w:val="00C87981"/>
    <w:rsid w:val="00CB6EAF"/>
    <w:rsid w:val="00CC5AC5"/>
    <w:rsid w:val="00CD5524"/>
    <w:rsid w:val="00CE087B"/>
    <w:rsid w:val="00CE3F0D"/>
    <w:rsid w:val="00D07414"/>
    <w:rsid w:val="00D12BDB"/>
    <w:rsid w:val="00D24BE1"/>
    <w:rsid w:val="00D757B0"/>
    <w:rsid w:val="00D763E4"/>
    <w:rsid w:val="00D864F9"/>
    <w:rsid w:val="00D94E91"/>
    <w:rsid w:val="00DA7335"/>
    <w:rsid w:val="00DE54F3"/>
    <w:rsid w:val="00DF1F87"/>
    <w:rsid w:val="00E41C80"/>
    <w:rsid w:val="00E454CB"/>
    <w:rsid w:val="00E55F7C"/>
    <w:rsid w:val="00E61E61"/>
    <w:rsid w:val="00E63212"/>
    <w:rsid w:val="00E94207"/>
    <w:rsid w:val="00E969AF"/>
    <w:rsid w:val="00E97F62"/>
    <w:rsid w:val="00EA5BAA"/>
    <w:rsid w:val="00EA623D"/>
    <w:rsid w:val="00EC54A9"/>
    <w:rsid w:val="00EC54EB"/>
    <w:rsid w:val="00EC7082"/>
    <w:rsid w:val="00ED3483"/>
    <w:rsid w:val="00F11A73"/>
    <w:rsid w:val="00F12340"/>
    <w:rsid w:val="00F1590B"/>
    <w:rsid w:val="00F30044"/>
    <w:rsid w:val="00F30DDD"/>
    <w:rsid w:val="00F334F6"/>
    <w:rsid w:val="00F40C8F"/>
    <w:rsid w:val="00F40F05"/>
    <w:rsid w:val="00F47B18"/>
    <w:rsid w:val="00F637BA"/>
    <w:rsid w:val="00F71E96"/>
    <w:rsid w:val="00F72CE7"/>
    <w:rsid w:val="00F73D33"/>
    <w:rsid w:val="00F947E6"/>
    <w:rsid w:val="00FA0426"/>
    <w:rsid w:val="00FA1655"/>
    <w:rsid w:val="00FD296D"/>
    <w:rsid w:val="00FE3F9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EEC6E"/>
  <w15:docId w15:val="{1CD2F336-C71E-47E2-B19C-FEAB35E5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qFormat/>
    <w:rsid w:val="004565C0"/>
    <w:pPr>
      <w:tabs>
        <w:tab w:val="clear" w:pos="2268"/>
        <w:tab w:val="clear" w:pos="2835"/>
      </w:tabs>
      <w:spacing w:before="240"/>
      <w:outlineLvl w:val="0"/>
    </w:pPr>
    <w:rPr>
      <w:b/>
    </w:rPr>
  </w:style>
  <w:style w:type="paragraph" w:styleId="Heading2">
    <w:name w:val="heading 2"/>
    <w:basedOn w:val="Normal"/>
    <w:next w:val="Normal"/>
    <w:link w:val="Heading2Char"/>
    <w:semiHidden/>
    <w:qFormat/>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semiHidden/>
    <w:qFormat/>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semiHidden/>
    <w:qFormat/>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semiHidden/>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semiHidden/>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rPr>
      <w:rFonts w:ascii="Times New Roman" w:hAnsi="Times New Roman" w:cs="Times New Roman"/>
      <w:b/>
      <w:sz w:val="18"/>
      <w:szCs w:val="20"/>
      <w:lang w:val="en-GB"/>
    </w:rPr>
  </w:style>
  <w:style w:type="paragraph" w:styleId="Footer">
    <w:name w:val="footer"/>
    <w:aliases w:val="3_G"/>
    <w:basedOn w:val="Normal"/>
    <w:link w:val="FooterChar"/>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21"/>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22"/>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23"/>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
    <w:basedOn w:val="DefaultParagraphFont"/>
    <w:qFormat/>
    <w:rPr>
      <w:rFonts w:ascii="Times New Roman" w:hAnsi="Times New Roman"/>
      <w:sz w:val="18"/>
      <w:vertAlign w:val="superscript"/>
      <w:lang w:val="en-GB"/>
    </w:rPr>
  </w:style>
  <w:style w:type="character" w:styleId="EndnoteReference">
    <w:name w:val="endnote reference"/>
    <w:aliases w:val="1_G"/>
    <w:basedOn w:val="FootnoteReference"/>
    <w:qFormat/>
    <w:rPr>
      <w:rFonts w:ascii="Times New Roman" w:hAnsi="Times New Roman"/>
      <w:sz w:val="18"/>
      <w:vertAlign w:val="superscript"/>
      <w:lang w:val="en-GB"/>
    </w:rPr>
  </w:style>
  <w:style w:type="table" w:styleId="TableGrid">
    <w:name w:val="Table Grid"/>
    <w:basedOn w:val="TableNormal"/>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Pr>
      <w:color w:val="0000FF"/>
      <w:u w:val="none"/>
    </w:rPr>
  </w:style>
  <w:style w:type="character" w:styleId="FollowedHyperlink">
    <w:name w:val="FollowedHyperlink"/>
    <w:basedOn w:val="DefaultParagraphFont"/>
    <w:semiHidden/>
    <w:rPr>
      <w:color w:val="0000FF"/>
      <w:u w:val="none"/>
    </w:rPr>
  </w:style>
  <w:style w:type="paragraph" w:styleId="FootnoteText">
    <w:name w:val="footnote text"/>
    <w:aliases w:val="5_G"/>
    <w:basedOn w:val="Normal"/>
    <w:link w:val="FootnoteTextChar"/>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Pr>
      <w:rFonts w:ascii="Times New Roman" w:hAnsi="Times New Roman" w:cs="Times New Roman"/>
      <w:sz w:val="18"/>
      <w:szCs w:val="20"/>
      <w:lang w:val="en-GB"/>
    </w:rPr>
  </w:style>
  <w:style w:type="paragraph" w:styleId="EndnoteText">
    <w:name w:val="endnote text"/>
    <w:aliases w:val="2_G"/>
    <w:basedOn w:val="FootnoteText"/>
    <w:link w:val="EndnoteTextChar"/>
    <w:qFormat/>
  </w:style>
  <w:style w:type="character" w:customStyle="1" w:styleId="EndnoteTextChar">
    <w:name w:val="Endnote Text Char"/>
    <w:aliases w:val="2_G Char"/>
    <w:basedOn w:val="DefaultParagraphFont"/>
    <w:link w:val="EndnoteText"/>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rsid w:val="004565C0"/>
    <w:rPr>
      <w:rFonts w:ascii="Times New Roman" w:hAnsi="Times New Roman" w:cs="Times New Roman"/>
      <w:b/>
      <w:sz w:val="20"/>
      <w:szCs w:val="20"/>
      <w:lang w:val="en-GB"/>
    </w:rPr>
  </w:style>
  <w:style w:type="character" w:customStyle="1" w:styleId="Heading2Char">
    <w:name w:val="Heading 2 Char"/>
    <w:basedOn w:val="DefaultParagraphFont"/>
    <w:link w:val="Heading2"/>
    <w:semiHidden/>
    <w:rPr>
      <w:rFonts w:ascii="Times New Roman" w:hAnsi="Times New Roman" w:cs="Times New Roman"/>
      <w:sz w:val="20"/>
      <w:szCs w:val="20"/>
    </w:rPr>
  </w:style>
  <w:style w:type="character" w:customStyle="1" w:styleId="Heading3Char">
    <w:name w:val="Heading 3 Char"/>
    <w:basedOn w:val="DefaultParagraphFont"/>
    <w:link w:val="Heading3"/>
    <w:semiHidden/>
    <w:rPr>
      <w:rFonts w:ascii="Times New Roman" w:hAnsi="Times New Roman" w:cs="Times New Roman"/>
      <w:sz w:val="20"/>
      <w:szCs w:val="20"/>
    </w:rPr>
  </w:style>
  <w:style w:type="character" w:customStyle="1" w:styleId="Heading4Char">
    <w:name w:val="Heading 4 Char"/>
    <w:basedOn w:val="DefaultParagraphFont"/>
    <w:link w:val="Heading4"/>
    <w:semiHidden/>
    <w:rPr>
      <w:rFonts w:ascii="Times New Roman" w:hAnsi="Times New Roman" w:cs="Times New Roman"/>
      <w:sz w:val="20"/>
      <w:szCs w:val="20"/>
    </w:rPr>
  </w:style>
  <w:style w:type="character" w:customStyle="1" w:styleId="Heading5Char">
    <w:name w:val="Heading 5 Char"/>
    <w:basedOn w:val="DefaultParagraphFont"/>
    <w:link w:val="Heading5"/>
    <w:semiHidden/>
    <w:rPr>
      <w:rFonts w:ascii="Times New Roman" w:hAnsi="Times New Roman" w:cs="Times New Roman"/>
      <w:sz w:val="20"/>
      <w:szCs w:val="20"/>
    </w:rPr>
  </w:style>
  <w:style w:type="character" w:customStyle="1" w:styleId="Heading6Char">
    <w:name w:val="Heading 6 Char"/>
    <w:basedOn w:val="DefaultParagraphFont"/>
    <w:link w:val="Heading6"/>
    <w:semiHidden/>
    <w:rPr>
      <w:rFonts w:ascii="Times New Roman" w:hAnsi="Times New Roman" w:cs="Times New Roman"/>
      <w:sz w:val="20"/>
      <w:szCs w:val="20"/>
    </w:rPr>
  </w:style>
  <w:style w:type="character" w:customStyle="1" w:styleId="Heading7Char">
    <w:name w:val="Heading 7 Char"/>
    <w:basedOn w:val="DefaultParagraphFont"/>
    <w:link w:val="Heading7"/>
    <w:semiHidden/>
    <w:rPr>
      <w:rFonts w:ascii="Times New Roman" w:hAnsi="Times New Roman" w:cs="Times New Roman"/>
      <w:sz w:val="20"/>
      <w:szCs w:val="20"/>
    </w:rPr>
  </w:style>
  <w:style w:type="character" w:customStyle="1" w:styleId="Heading8Char">
    <w:name w:val="Heading 8 Char"/>
    <w:basedOn w:val="DefaultParagraphFont"/>
    <w:link w:val="Heading8"/>
    <w:semiHidden/>
    <w:rPr>
      <w:rFonts w:ascii="Times New Roman" w:hAnsi="Times New Roman" w:cs="Times New Roman"/>
      <w:sz w:val="20"/>
      <w:szCs w:val="20"/>
    </w:rPr>
  </w:style>
  <w:style w:type="character" w:customStyle="1" w:styleId="Heading9Char">
    <w:name w:val="Heading 9 Char"/>
    <w:basedOn w:val="DefaultParagraphFont"/>
    <w:link w:val="Heading9"/>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numbering" w:styleId="111111">
    <w:name w:val="Outline List 2"/>
    <w:basedOn w:val="NoList"/>
    <w:semiHidden/>
    <w:pPr>
      <w:numPr>
        <w:numId w:val="18"/>
      </w:numPr>
    </w:pPr>
  </w:style>
  <w:style w:type="numbering" w:styleId="1ai">
    <w:name w:val="Outline List 1"/>
    <w:basedOn w:val="NoList"/>
    <w:semiHidden/>
    <w:pPr>
      <w:numPr>
        <w:numId w:val="20"/>
      </w:numPr>
    </w:pPr>
  </w:style>
  <w:style w:type="character" w:customStyle="1" w:styleId="SingleTxtGChar">
    <w:name w:val="_ Single Txt_G Char"/>
    <w:link w:val="SingleTxtG"/>
    <w:locked/>
    <w:rPr>
      <w:rFonts w:ascii="Times New Roman" w:hAnsi="Times New Roman" w:cs="Times New Roman"/>
      <w:sz w:val="20"/>
      <w:szCs w:val="20"/>
      <w:lang w:val="en-GB"/>
    </w:rPr>
  </w:style>
  <w:style w:type="table" w:customStyle="1" w:styleId="TableGrid1">
    <w:name w:val="Table Grid1"/>
    <w:basedOn w:val="Table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basedOn w:val="DefaultParagraphFont"/>
    <w:uiPriority w:val="99"/>
    <w:semiHidden/>
    <w:unhideWhenUsed/>
    <w:rsid w:val="00BB5AF6"/>
    <w:rPr>
      <w:sz w:val="16"/>
      <w:szCs w:val="16"/>
    </w:rPr>
  </w:style>
  <w:style w:type="paragraph" w:styleId="CommentText">
    <w:name w:val="annotation text"/>
    <w:basedOn w:val="Normal"/>
    <w:link w:val="CommentTextChar"/>
    <w:uiPriority w:val="99"/>
    <w:semiHidden/>
    <w:unhideWhenUsed/>
    <w:rsid w:val="00BB5AF6"/>
    <w:pPr>
      <w:spacing w:line="240" w:lineRule="auto"/>
    </w:pPr>
  </w:style>
  <w:style w:type="character" w:customStyle="1" w:styleId="CommentTextChar">
    <w:name w:val="Comment Text Char"/>
    <w:basedOn w:val="DefaultParagraphFont"/>
    <w:link w:val="CommentText"/>
    <w:uiPriority w:val="99"/>
    <w:semiHidden/>
    <w:rsid w:val="00BB5AF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B5AF6"/>
    <w:rPr>
      <w:b/>
      <w:bCs/>
    </w:rPr>
  </w:style>
  <w:style w:type="character" w:customStyle="1" w:styleId="CommentSubjectChar">
    <w:name w:val="Comment Subject Char"/>
    <w:basedOn w:val="CommentTextChar"/>
    <w:link w:val="CommentSubject"/>
    <w:uiPriority w:val="99"/>
    <w:semiHidden/>
    <w:rsid w:val="00BB5AF6"/>
    <w:rPr>
      <w:rFonts w:ascii="Times New Roman" w:eastAsia="Times New Roman" w:hAnsi="Times New Roman" w:cs="Times New Roman"/>
      <w:b/>
      <w:bCs/>
      <w:sz w:val="20"/>
      <w:szCs w:val="20"/>
      <w:lang w:val="en-GB"/>
    </w:rPr>
  </w:style>
  <w:style w:type="paragraph" w:styleId="Revision">
    <w:name w:val="Revision"/>
    <w:hidden/>
    <w:uiPriority w:val="99"/>
    <w:semiHidden/>
    <w:rsid w:val="00AD54E6"/>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A14AE-4F74-4666-A095-0647B6078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4624</Words>
  <Characters>25529</Characters>
  <Application>Microsoft Office Word</Application>
  <DocSecurity>0</DocSecurity>
  <Lines>472</Lines>
  <Paragraphs>175</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E/C.12/FIN/CO/R.7</vt:lpstr>
      <vt:lpstr/>
      <vt:lpstr/>
    </vt:vector>
  </TitlesOfParts>
  <Company>DCM</Company>
  <LinksUpToDate>false</LinksUpToDate>
  <CharactersWithSpaces>29978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E/C.12/FIN/CO/R.7</dc:title>
  <dc:subject>2102650</dc:subject>
  <dc:creator>Gloria</dc:creator>
  <cp:keywords/>
  <dc:description/>
  <cp:lastModifiedBy>Paavilainen Vilma</cp:lastModifiedBy>
  <cp:revision>2</cp:revision>
  <cp:lastPrinted>2017-10-25T12:09:00Z</cp:lastPrinted>
  <dcterms:created xsi:type="dcterms:W3CDTF">2021-03-08T07:43:00Z</dcterms:created>
  <dcterms:modified xsi:type="dcterms:W3CDTF">2021-03-08T07:43:00Z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[NUMBER]</vt:lpwstr>
  </property>
  <property fmtid="{D5CDD505-2E9C-101B-9397-08002B2CF9AE}" pid="3" name="atitle">
    <vt:lpwstr>[Title]</vt:lpwstr>
  </property>
  <property fmtid="{D5CDD505-2E9C-101B-9397-08002B2CF9AE}" pid="4" name="Author">
    <vt:lpwstr/>
  </property>
  <property fmtid="{D5CDD505-2E9C-101B-9397-08002B2CF9AE}" pid="5" name="bar">
    <vt:lpwstr/>
  </property>
  <property fmtid="{D5CDD505-2E9C-101B-9397-08002B2CF9AE}" pid="6" name="category">
    <vt:lpwstr>CESCR</vt:lpwstr>
  </property>
  <property fmtid="{D5CDD505-2E9C-101B-9397-08002B2CF9AE}" pid="7" name="count">
    <vt:lpwstr>Finland</vt:lpwstr>
  </property>
  <property fmtid="{D5CDD505-2E9C-101B-9397-08002B2CF9AE}" pid="8" name="countw">
    <vt:lpwstr>Finland</vt:lpwstr>
  </property>
  <property fmtid="{D5CDD505-2E9C-101B-9397-08002B2CF9AE}" pid="9" name="countwd">
    <vt:lpwstr>Finland</vt:lpwstr>
  </property>
  <property fmtid="{D5CDD505-2E9C-101B-9397-08002B2CF9AE}" pid="10" name="date">
    <vt:lpwstr>14 December 2020</vt:lpwstr>
  </property>
  <property fmtid="{D5CDD505-2E9C-101B-9397-08002B2CF9AE}" pid="11" name="Date-Generated">
    <vt:filetime>2020-12-16T10:20:17Z</vt:filetime>
  </property>
  <property fmtid="{D5CDD505-2E9C-101B-9397-08002B2CF9AE}" pid="12" name="dist">
    <vt:lpwstr>Restricted</vt:lpwstr>
  </property>
  <property fmtid="{D5CDD505-2E9C-101B-9397-08002B2CF9AE}" pid="13" name="doctype">
    <vt:lpwstr>Draft</vt:lpwstr>
  </property>
  <property fmtid="{D5CDD505-2E9C-101B-9397-08002B2CF9AE}" pid="14" name="Entity">
    <vt:lpwstr>Concluding observations</vt:lpwstr>
  </property>
  <property fmtid="{D5CDD505-2E9C-101B-9397-08002B2CF9AE}" pid="15" name="gdoc">
    <vt:lpwstr/>
  </property>
  <property fmtid="{D5CDD505-2E9C-101B-9397-08002B2CF9AE}" pid="16" name="gdocf">
    <vt:lpwstr/>
  </property>
  <property fmtid="{D5CDD505-2E9C-101B-9397-08002B2CF9AE}" pid="17" name="olang">
    <vt:lpwstr>English</vt:lpwstr>
  </property>
  <property fmtid="{D5CDD505-2E9C-101B-9397-08002B2CF9AE}" pid="18" name="Org">
    <vt:lpwstr>OHCHR</vt:lpwstr>
  </property>
  <property fmtid="{D5CDD505-2E9C-101B-9397-08002B2CF9AE}" pid="19" name="prep">
    <vt:lpwstr>seventh periodic report of Finland</vt:lpwstr>
  </property>
  <property fmtid="{D5CDD505-2E9C-101B-9397-08002B2CF9AE}" pid="20" name="preps">
    <vt:lpwstr>seventh periodic report of Finland</vt:lpwstr>
  </property>
  <property fmtid="{D5CDD505-2E9C-101B-9397-08002B2CF9AE}" pid="21" name="prepw">
    <vt:lpwstr>seventh periodic report</vt:lpwstr>
  </property>
  <property fmtid="{D5CDD505-2E9C-101B-9397-08002B2CF9AE}" pid="22" name="prepwc">
    <vt:lpwstr>Seventh periodic report </vt:lpwstr>
  </property>
  <property fmtid="{D5CDD505-2E9C-101B-9397-08002B2CF9AE}" pid="23" name="prepws">
    <vt:lpwstr>seventh periodic report</vt:lpwstr>
  </property>
  <property fmtid="{D5CDD505-2E9C-101B-9397-08002B2CF9AE}" pid="24" name="sdate">
    <vt:lpwstr>[Start-End Dates]</vt:lpwstr>
  </property>
  <property fmtid="{D5CDD505-2E9C-101B-9397-08002B2CF9AE}" pid="25" name="snum">
    <vt:lpwstr>[NUMBER]</vt:lpwstr>
  </property>
  <property fmtid="{D5CDD505-2E9C-101B-9397-08002B2CF9AE}" pid="26" name="stitle">
    <vt:lpwstr>[Title]</vt:lpwstr>
  </property>
  <property fmtid="{D5CDD505-2E9C-101B-9397-08002B2CF9AE}" pid="27" name="sym1">
    <vt:lpwstr>C.12/FIN/CO/R.7</vt:lpwstr>
  </property>
  <property fmtid="{D5CDD505-2E9C-101B-9397-08002B2CF9AE}" pid="28" name="symh">
    <vt:lpwstr>E/C.12/FIN/CO/R.7</vt:lpwstr>
  </property>
  <property fmtid="{D5CDD505-2E9C-101B-9397-08002B2CF9AE}" pid="29" name="Title">
    <vt:lpwstr>E/C.12/FIN/CO/R.7</vt:lpwstr>
  </property>
  <property fmtid="{D5CDD505-2E9C-101B-9397-08002B2CF9AE}" pid="30" name="tlang">
    <vt:lpwstr/>
  </property>
  <property fmtid="{D5CDD505-2E9C-101B-9397-08002B2CF9AE}" pid="31" name="virs">
    <vt:lpwstr>English, French and Spanish only</vt:lpwstr>
  </property>
</Properties>
</file>